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1" w:rightFromText="181" w:topFromText="1134" w:bottomFromText="425" w:vertAnchor="page" w:horzAnchor="page" w:tblpX="1362" w:tblpY="2836"/>
        <w:tblOverlap w:val="never"/>
        <w:tblW w:w="9739" w:type="dxa"/>
        <w:tblBorders>
          <w:top w:val="single" w:sz="36" w:space="0" w:color="FFFFFF" w:themeColor="background1"/>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39"/>
      </w:tblGrid>
      <w:tr w:rsidR="00E647F5" w14:paraId="6FDBBA8F" w14:textId="77777777" w:rsidTr="00E51F29">
        <w:trPr>
          <w:trHeight w:hRule="exact" w:val="79"/>
        </w:trPr>
        <w:tc>
          <w:tcPr>
            <w:tcW w:w="9739" w:type="dxa"/>
            <w:tcBorders>
              <w:top w:val="nil"/>
            </w:tcBorders>
            <w:tcMar>
              <w:top w:w="0" w:type="dxa"/>
              <w:bottom w:w="0" w:type="dxa"/>
              <w:right w:w="340" w:type="dxa"/>
            </w:tcMar>
            <w:vAlign w:val="bottom"/>
          </w:tcPr>
          <w:p w14:paraId="3A4122AB" w14:textId="77777777" w:rsidR="00E647F5" w:rsidRPr="007A4783" w:rsidRDefault="00E647F5" w:rsidP="00E51F29">
            <w:pPr>
              <w:pStyle w:val="HoCDisclaimerText"/>
              <w:framePr w:hSpace="0" w:vSpace="0" w:wrap="auto" w:vAnchor="margin" w:hAnchor="text" w:xAlign="left" w:yAlign="inline"/>
              <w:suppressOverlap w:val="0"/>
            </w:pPr>
            <w:bookmarkStart w:id="0" w:name="_Toc4491626"/>
            <w:bookmarkStart w:id="1" w:name="_Toc4491758"/>
            <w:bookmarkStart w:id="2" w:name="_Toc35964731"/>
            <w:bookmarkStart w:id="3" w:name="moneB_FPDisclaimer"/>
            <w:bookmarkEnd w:id="3"/>
          </w:p>
        </w:tc>
      </w:tr>
    </w:tbl>
    <w:p w14:paraId="5B90E1E1" w14:textId="77777777" w:rsidR="000C1196" w:rsidRDefault="000C1196" w:rsidP="000C1196">
      <w:pPr>
        <w:pStyle w:val="HoCSpace"/>
      </w:pPr>
      <w:bookmarkStart w:id="4" w:name="_Hlk44424796"/>
      <w:bookmarkStart w:id="5" w:name="_Toc38552640"/>
      <w:bookmarkEnd w:id="0"/>
      <w:bookmarkEnd w:id="1"/>
      <w:bookmarkEnd w:id="2"/>
    </w:p>
    <w:bookmarkEnd w:id="4"/>
    <w:bookmarkEnd w:id="5"/>
    <w:p w14:paraId="5AF4B25E" w14:textId="77777777" w:rsidR="00180830" w:rsidRPr="00D54250" w:rsidRDefault="00180830" w:rsidP="005F17E7">
      <w:pPr>
        <w:pStyle w:val="HoCHeading1NoPageBreak"/>
      </w:pPr>
      <w:r w:rsidRPr="00D54250">
        <w:t>Motability scheme</w:t>
      </w:r>
    </w:p>
    <w:p w14:paraId="54D3DB80" w14:textId="5EBF7C0B" w:rsidR="00180830" w:rsidRPr="00D54250" w:rsidRDefault="00180830" w:rsidP="005F17E7">
      <w:pPr>
        <w:pStyle w:val="Heading2"/>
      </w:pPr>
      <w:r w:rsidRPr="00D54250">
        <w:t xml:space="preserve">Has an equality impact assessment been published on the combined effect of VAT on advance payments and Insurance Premium Tax on Motability users, particularly those requiring more specialist or higher-cost vehicles? </w:t>
      </w:r>
      <w:r w:rsidRPr="00D54250">
        <w:rPr>
          <w:rFonts w:ascii="Calibri" w:hAnsi="Calibri" w:cs="Calibri"/>
        </w:rPr>
        <w:t> </w:t>
      </w:r>
      <w:r>
        <w:t>(Antony Seely)</w:t>
      </w:r>
    </w:p>
    <w:p w14:paraId="57F15C49" w14:textId="0194946C" w:rsidR="00180830" w:rsidRDefault="00180830" w:rsidP="005F17E7">
      <w:pPr>
        <w:pStyle w:val="BodyText"/>
      </w:pPr>
      <w:r w:rsidRPr="00E63A3D">
        <w:t xml:space="preserve">Yes. HM Revenue &amp; Customs </w:t>
      </w:r>
      <w:hyperlink r:id="rId9" w:history="1">
        <w:r w:rsidRPr="005F17E7">
          <w:rPr>
            <w:rStyle w:val="Hyperlink"/>
          </w:rPr>
          <w:t>published this</w:t>
        </w:r>
      </w:hyperlink>
      <w:r w:rsidRPr="00E63A3D">
        <w:t xml:space="preserve"> at the time of the 2025 Budget, as noted in an answer to a recent PQ on this reform (</w:t>
      </w:r>
      <w:hyperlink r:id="rId10" w:history="1">
        <w:r w:rsidRPr="005F17E7">
          <w:rPr>
            <w:rStyle w:val="Hyperlink"/>
          </w:rPr>
          <w:t>PQ102</w:t>
        </w:r>
        <w:r w:rsidRPr="005F17E7">
          <w:rPr>
            <w:rStyle w:val="Hyperlink"/>
          </w:rPr>
          <w:t>8</w:t>
        </w:r>
        <w:r w:rsidRPr="005F17E7">
          <w:rPr>
            <w:rStyle w:val="Hyperlink"/>
          </w:rPr>
          <w:t>38</w:t>
        </w:r>
      </w:hyperlink>
      <w:r w:rsidRPr="00E63A3D">
        <w:t>, 12 January 2026).</w:t>
      </w:r>
    </w:p>
    <w:p w14:paraId="616E3A2E" w14:textId="77777777" w:rsidR="00180830" w:rsidRDefault="00180830" w:rsidP="005F17E7">
      <w:pPr>
        <w:pStyle w:val="Heading2"/>
      </w:pPr>
      <w:r w:rsidRPr="00D54250">
        <w:t xml:space="preserve">Was the removal of specific brands based on measurable cost or risk evidence, or primarily on public perception, given that many of those vehicles previously fell within the scheme price cap and required substantial user contributions? </w:t>
      </w:r>
      <w:r w:rsidRPr="00D54250">
        <w:rPr>
          <w:rFonts w:ascii="Calibri" w:hAnsi="Calibri" w:cs="Calibri"/>
        </w:rPr>
        <w:t> </w:t>
      </w:r>
      <w:r>
        <w:t>(Mike Benson)</w:t>
      </w:r>
    </w:p>
    <w:p w14:paraId="062A3F89" w14:textId="77777777" w:rsidR="00180830" w:rsidRDefault="00180830" w:rsidP="005F17E7">
      <w:pPr>
        <w:pStyle w:val="BodyText"/>
      </w:pPr>
      <w:r>
        <w:t xml:space="preserve">The Motability webpage </w:t>
      </w:r>
      <w:hyperlink r:id="rId11" w:anchor=":~:text=You%20may%20have%20noticed,on%20essential%2C%20practical%20mobility." w:history="1">
        <w:r w:rsidRPr="005F17E7">
          <w:rPr>
            <w:rStyle w:val="Hyperlink"/>
          </w:rPr>
          <w:t>Updates to the cars available on the Motability Scheme</w:t>
        </w:r>
      </w:hyperlink>
      <w:r>
        <w:t xml:space="preserve"> (25 November 2025) says that the removal of certain brands from the scheme was because these were outside of the scheme’s main focus on “essential, practical mobility”:</w:t>
      </w:r>
    </w:p>
    <w:p w14:paraId="6EB89BA0" w14:textId="6CB24273" w:rsidR="00180830" w:rsidRDefault="00180830" w:rsidP="005F17E7">
      <w:pPr>
        <w:pStyle w:val="HoCLongquote"/>
      </w:pPr>
      <w:r>
        <w:t>You may have noticed that we’ve taken cars from brands such as Alfa Romeo, Audi, BMW, Lexus and Mercedes-Benz off the price list.</w:t>
      </w:r>
    </w:p>
    <w:p w14:paraId="4EAF5F2E" w14:textId="77777777" w:rsidR="00180830" w:rsidRDefault="00180830" w:rsidP="005F17E7">
      <w:pPr>
        <w:pStyle w:val="HoCLongquote"/>
      </w:pPr>
      <w:r>
        <w:t>We’ve also removed all coupe and convertible cars from other manufacturers.</w:t>
      </w:r>
    </w:p>
    <w:p w14:paraId="04FCC5DE" w14:textId="09670195" w:rsidR="00180830" w:rsidRDefault="00180830" w:rsidP="005F17E7">
      <w:pPr>
        <w:pStyle w:val="HoCLongquote"/>
      </w:pPr>
      <w:r>
        <w:t>These models tend to be higher-cost vehicles that sit outside the Scheme’s focus on essential, practical mobility.</w:t>
      </w:r>
    </w:p>
    <w:p w14:paraId="50EC7D41" w14:textId="77777777" w:rsidR="00180830" w:rsidRPr="00BB0A5F" w:rsidRDefault="00180830" w:rsidP="005F17E7">
      <w:pPr>
        <w:pStyle w:val="BodyText"/>
      </w:pPr>
      <w:r>
        <w:lastRenderedPageBreak/>
        <w:t xml:space="preserve">Decisions about the vehicles to be included in the scheme (as well as the operation and administration of the scheme more widely) are for the </w:t>
      </w:r>
      <w:r w:rsidRPr="00BB0A5F">
        <w:t>Motability Foundation</w:t>
      </w:r>
      <w:r>
        <w:t>, a registered charity</w:t>
      </w:r>
      <w:r w:rsidRPr="00BB0A5F">
        <w:t xml:space="preserve"> (</w:t>
      </w:r>
      <w:hyperlink r:id="rId12" w:history="1">
        <w:r w:rsidRPr="005F17E7">
          <w:rPr>
            <w:rStyle w:val="Hyperlink"/>
          </w:rPr>
          <w:t>PQ 85568</w:t>
        </w:r>
      </w:hyperlink>
      <w:r w:rsidRPr="00BB0A5F">
        <w:t>, 5 November 2025).</w:t>
      </w:r>
    </w:p>
    <w:p w14:paraId="308F0101" w14:textId="2F9AF438" w:rsidR="00180830" w:rsidRPr="00D54250" w:rsidRDefault="00180830" w:rsidP="005F17E7">
      <w:pPr>
        <w:pStyle w:val="Heading2"/>
      </w:pPr>
      <w:r w:rsidRPr="00D54250">
        <w:t>Has any assessment been made of the impact on choice, dignity, and practical accessibility for disabled users?</w:t>
      </w:r>
      <w:r>
        <w:t xml:space="preserve"> </w:t>
      </w:r>
    </w:p>
    <w:p w14:paraId="4F81E92F" w14:textId="4EA8547E" w:rsidR="00180830" w:rsidRDefault="00180830" w:rsidP="005F17E7">
      <w:pPr>
        <w:pStyle w:val="BodyText"/>
      </w:pPr>
      <w:r>
        <w:t xml:space="preserve">In its announcement about changes to the Motability scheme, Motability said that while it has removed higher cost vehicles from the scheme, it </w:t>
      </w:r>
      <w:hyperlink r:id="rId13" w:anchor=":~:text=The%20same%C2%A0choice%C2%A0of%20larger%C2%A07%20seater%C2%A0cars%2C%20available%20from%2010%C2%A0different%20manufacturers" w:history="1">
        <w:r w:rsidRPr="005F17E7">
          <w:rPr>
            <w:rStyle w:val="Hyperlink"/>
          </w:rPr>
          <w:t>still provides a wide choice of vehicles</w:t>
        </w:r>
      </w:hyperlink>
      <w:r>
        <w:t xml:space="preserve"> including the “</w:t>
      </w:r>
      <w:r w:rsidRPr="00AC3E28">
        <w:t>same choice of larger 7 seater cars, available from 10 different manufacturers</w:t>
      </w:r>
      <w:r>
        <w:t>”.</w:t>
      </w:r>
    </w:p>
    <w:p w14:paraId="3B9B979A" w14:textId="4406D146" w:rsidR="00180830" w:rsidRPr="00D54250" w:rsidRDefault="00180830" w:rsidP="005F17E7">
      <w:pPr>
        <w:pStyle w:val="BodyText"/>
      </w:pPr>
      <w:r>
        <w:t xml:space="preserve">According to the Motability webpage </w:t>
      </w:r>
      <w:hyperlink r:id="rId14" w:history="1">
        <w:r w:rsidRPr="005F17E7">
          <w:rPr>
            <w:rStyle w:val="Hyperlink"/>
          </w:rPr>
          <w:t>Choose a vehicle type</w:t>
        </w:r>
      </w:hyperlink>
      <w:r>
        <w:t xml:space="preserve"> as of 5 February 2026 there are 403 Wheelchair Accessible Vehicles (WAVs) available through the scheme. Motability also offers </w:t>
      </w:r>
      <w:hyperlink r:id="rId15" w:history="1">
        <w:r w:rsidRPr="005F17E7">
          <w:rPr>
            <w:rStyle w:val="Hyperlink"/>
          </w:rPr>
          <w:t>adaptations to make vehicles easier to use</w:t>
        </w:r>
      </w:hyperlink>
      <w:r>
        <w:t>.</w:t>
      </w:r>
    </w:p>
    <w:p w14:paraId="5B13BD2B" w14:textId="013E7E7C" w:rsidR="00180830" w:rsidRPr="00D54250" w:rsidRDefault="00180830" w:rsidP="005F17E7">
      <w:pPr>
        <w:pStyle w:val="HoCHeading1NoPageBreak"/>
      </w:pPr>
      <w:r w:rsidRPr="00D54250">
        <w:t>EV per-mile charge</w:t>
      </w:r>
      <w:r w:rsidR="005F17E7">
        <w:t xml:space="preserve"> </w:t>
      </w:r>
    </w:p>
    <w:p w14:paraId="7CE3A018" w14:textId="1CE78245" w:rsidR="00180830" w:rsidRDefault="00180830" w:rsidP="00E423CE">
      <w:pPr>
        <w:pStyle w:val="BodyText"/>
      </w:pPr>
      <w:r>
        <w:t>In the Autumn 2025 Budget, the government announced</w:t>
      </w:r>
      <w:r w:rsidR="008F4927">
        <w:t xml:space="preserve"> that it would introduce</w:t>
      </w:r>
      <w:r>
        <w:t xml:space="preserve"> </w:t>
      </w:r>
      <w:r w:rsidRPr="000C1080">
        <w:t>electric Vehicle Excise Duty (</w:t>
      </w:r>
      <w:proofErr w:type="spellStart"/>
      <w:r w:rsidRPr="000C1080">
        <w:t>eVED</w:t>
      </w:r>
      <w:proofErr w:type="spellEnd"/>
      <w:r w:rsidRPr="000C1080">
        <w:t>)</w:t>
      </w:r>
      <w:r>
        <w:t>. This is</w:t>
      </w:r>
      <w:r w:rsidRPr="000C1080">
        <w:t xml:space="preserve"> a new mileage charge for electric and plug-in hybrid cars, which will take effect from April 2028. </w:t>
      </w:r>
      <w:r>
        <w:t xml:space="preserve">It also launched a </w:t>
      </w:r>
      <w:hyperlink r:id="rId16" w:history="1">
        <w:r w:rsidRPr="00E423CE">
          <w:rPr>
            <w:rStyle w:val="Hyperlink"/>
          </w:rPr>
          <w:t xml:space="preserve">consultation which sets out further detail on how </w:t>
        </w:r>
        <w:proofErr w:type="spellStart"/>
        <w:r w:rsidRPr="00E423CE">
          <w:rPr>
            <w:rStyle w:val="Hyperlink"/>
          </w:rPr>
          <w:t>eVED</w:t>
        </w:r>
        <w:proofErr w:type="spellEnd"/>
        <w:r w:rsidRPr="00E423CE">
          <w:rPr>
            <w:rStyle w:val="Hyperlink"/>
          </w:rPr>
          <w:t xml:space="preserve"> will work and seeks views its design and implementation</w:t>
        </w:r>
      </w:hyperlink>
      <w:r w:rsidRPr="000C1080">
        <w:t>.</w:t>
      </w:r>
      <w:r>
        <w:t xml:space="preserve"> The consultation closes on 18 March 2026.</w:t>
      </w:r>
    </w:p>
    <w:p w14:paraId="4381B39A" w14:textId="77777777" w:rsidR="00180830" w:rsidRDefault="00180830" w:rsidP="00E423CE">
      <w:pPr>
        <w:pStyle w:val="Heading2"/>
      </w:pPr>
      <w:r w:rsidRPr="00D54250">
        <w:t xml:space="preserve">What provision is being considered for disabled drivers in receipt of PIP who rely on a vehicle for mobility, and would an exemption or reduced rate for vehicles registered as “Disabled” be contemplated? </w:t>
      </w:r>
      <w:r w:rsidRPr="00D54250">
        <w:rPr>
          <w:rFonts w:ascii="Calibri" w:hAnsi="Calibri" w:cs="Calibri"/>
        </w:rPr>
        <w:t> </w:t>
      </w:r>
    </w:p>
    <w:p w14:paraId="1AC19BF0" w14:textId="77777777" w:rsidR="00180830" w:rsidRDefault="00180830" w:rsidP="00E423CE">
      <w:pPr>
        <w:pStyle w:val="BodyText"/>
      </w:pPr>
      <w:r>
        <w:t xml:space="preserve">Section 4.13 of the consultation says that </w:t>
      </w:r>
      <w:proofErr w:type="spellStart"/>
      <w:r>
        <w:t>eVED</w:t>
      </w:r>
      <w:proofErr w:type="spellEnd"/>
      <w:r>
        <w:t xml:space="preserve"> would apply to vehicles driven by drivers who are in receipt of PIP:</w:t>
      </w:r>
    </w:p>
    <w:p w14:paraId="4B87802C" w14:textId="09D33257" w:rsidR="00180830" w:rsidRDefault="00180830" w:rsidP="00E423CE">
      <w:pPr>
        <w:pStyle w:val="HoCLongquote"/>
      </w:pPr>
      <w:proofErr w:type="spellStart"/>
      <w:r w:rsidRPr="00363036">
        <w:t>eVED</w:t>
      </w:r>
      <w:proofErr w:type="spellEnd"/>
      <w:r w:rsidRPr="00363036">
        <w:t xml:space="preserve"> will apply to cars driven by those who are wholly or partially exempt from VED, but where their petrol or diesel equivalents would be subject to fuel duty. This includes those who receive the mobility component of certain disability-related benefits (principally </w:t>
      </w:r>
      <w:r w:rsidRPr="00363036">
        <w:lastRenderedPageBreak/>
        <w:t>Disability Living Allowance or Personal Independence Payment). These groups</w:t>
      </w:r>
      <w:r w:rsidRPr="00825B95">
        <w:t xml:space="preserve"> will continue to receive the same VED exemptions as they do now but will not be exempt from </w:t>
      </w:r>
      <w:proofErr w:type="spellStart"/>
      <w:r w:rsidRPr="00825B95">
        <w:t>eVED</w:t>
      </w:r>
      <w:proofErr w:type="spellEnd"/>
      <w:r w:rsidRPr="00825B95">
        <w:t>, as they are not exempt from fuel duty.</w:t>
      </w:r>
    </w:p>
    <w:p w14:paraId="5C4C3739" w14:textId="42DF6529" w:rsidR="00180830" w:rsidRPr="00D54250" w:rsidRDefault="00180830" w:rsidP="00E423CE">
      <w:pPr>
        <w:pStyle w:val="BodyText"/>
      </w:pPr>
      <w:r>
        <w:t>As noted above, the government is seeking views on this as part of the consultation, so the constituent may wish to consider submitting a response on this issue.</w:t>
      </w:r>
    </w:p>
    <w:p w14:paraId="72EF7533" w14:textId="77777777" w:rsidR="00180830" w:rsidRDefault="00180830" w:rsidP="00E423CE">
      <w:pPr>
        <w:pStyle w:val="Heading2"/>
      </w:pPr>
      <w:r w:rsidRPr="00D54250">
        <w:t>Will the consultation explicitly assess distributional and equality impacts, and publish modelling on likely effects on EV adoption among lower-income and Motability users?</w:t>
      </w:r>
    </w:p>
    <w:p w14:paraId="210CE3CF" w14:textId="7384110F" w:rsidR="00180830" w:rsidRDefault="00180830" w:rsidP="00E423CE">
      <w:pPr>
        <w:pStyle w:val="BodyText"/>
      </w:pPr>
      <w:r>
        <w:t xml:space="preserve">This is likely to be outside the scope of the consultation, which is seeking views on the design and implementation of </w:t>
      </w:r>
      <w:proofErr w:type="spellStart"/>
      <w:r>
        <w:t>eVED</w:t>
      </w:r>
      <w:proofErr w:type="spellEnd"/>
      <w:r>
        <w:t xml:space="preserve">. However, the government may choose to publish further documents as part of or alongside its consultation response, or when it introduces </w:t>
      </w:r>
      <w:proofErr w:type="spellStart"/>
      <w:r>
        <w:t>eVED</w:t>
      </w:r>
      <w:proofErr w:type="spellEnd"/>
      <w:r>
        <w:t>.</w:t>
      </w:r>
    </w:p>
    <w:p w14:paraId="4F5F7FCA" w14:textId="21AF0BBB" w:rsidR="00041499" w:rsidRDefault="00041499" w:rsidP="00E423CE">
      <w:pPr>
        <w:pStyle w:val="BodyText"/>
      </w:pPr>
      <w:r>
        <w:t>In answer to a recent PQ (</w:t>
      </w:r>
      <w:hyperlink r:id="rId17" w:history="1">
        <w:r w:rsidRPr="00854182">
          <w:rPr>
            <w:rStyle w:val="Hyperlink"/>
          </w:rPr>
          <w:t xml:space="preserve">PQ </w:t>
        </w:r>
        <w:r w:rsidR="00CA1CAA" w:rsidRPr="00854182">
          <w:rPr>
            <w:rStyle w:val="Hyperlink"/>
          </w:rPr>
          <w:t>106452</w:t>
        </w:r>
      </w:hyperlink>
      <w:r w:rsidR="00CA1CAA">
        <w:t xml:space="preserve">, answered 27 January 2026) the government said that </w:t>
      </w:r>
      <w:r w:rsidR="00783E7A">
        <w:t>people</w:t>
      </w:r>
      <w:r w:rsidR="00783E7A" w:rsidRPr="00783E7A">
        <w:t xml:space="preserve"> who receive the mobility component of certain disability-related benefits</w:t>
      </w:r>
      <w:r w:rsidR="00783E7A">
        <w:t xml:space="preserve"> would not be exempt from </w:t>
      </w:r>
      <w:proofErr w:type="spellStart"/>
      <w:r w:rsidR="00783E7A">
        <w:t>eVED</w:t>
      </w:r>
      <w:proofErr w:type="spellEnd"/>
      <w:r w:rsidR="00783E7A">
        <w:t xml:space="preserve"> (unliked VED)</w:t>
      </w:r>
      <w:r w:rsidR="00134062">
        <w:t>:</w:t>
      </w:r>
    </w:p>
    <w:p w14:paraId="76478937" w14:textId="77777777" w:rsidR="00134062" w:rsidRDefault="00134062" w:rsidP="00134062">
      <w:pPr>
        <w:pStyle w:val="HoCLongquote"/>
      </w:pPr>
      <w:r>
        <w:t>As announced at Budget 2025, the Government is introducing Electric Vehicle Excise Duty (</w:t>
      </w:r>
      <w:proofErr w:type="spellStart"/>
      <w:r>
        <w:t>eVED</w:t>
      </w:r>
      <w:proofErr w:type="spellEnd"/>
      <w:r>
        <w:t>) from April 2028, a new mileage charge for electric and plug-in hybrid cars, recognising that EVs contribute to congestion and wear and tear on the roads but pay no equivalent to fuel duty.</w:t>
      </w:r>
    </w:p>
    <w:p w14:paraId="7DD91932" w14:textId="77777777" w:rsidR="00134062" w:rsidRDefault="00134062" w:rsidP="00134062">
      <w:pPr>
        <w:pStyle w:val="HoCLongquote"/>
      </w:pPr>
      <w:proofErr w:type="spellStart"/>
      <w:r>
        <w:t>eVED</w:t>
      </w:r>
      <w:proofErr w:type="spellEnd"/>
      <w:r>
        <w:t xml:space="preserve"> is designed to replace fuel duty for electric and plug-in hybrid cars. This means it will apply to cars driven by those who are wholly or partially exempt from Vehicle Excise Duty (VED), but where their petrol or diesel equivalents would be subject to fuel duty. This includes those who receive the mobility component of certain disability-related benefits (principally Disability Living Allowance or Personal Independence Payment). These groups will continue to receive the same VED exemptions as they do now but will not be exempt from </w:t>
      </w:r>
      <w:proofErr w:type="spellStart"/>
      <w:r>
        <w:t>eVED</w:t>
      </w:r>
      <w:proofErr w:type="spellEnd"/>
      <w:r>
        <w:t>, as they are not exempt from fuel duty.</w:t>
      </w:r>
    </w:p>
    <w:p w14:paraId="6027EC5C" w14:textId="38C2FF23" w:rsidR="00134062" w:rsidRPr="00D54250" w:rsidRDefault="00134062" w:rsidP="00134062">
      <w:pPr>
        <w:pStyle w:val="HoCLongquote"/>
      </w:pPr>
      <w:r>
        <w:t xml:space="preserve">As with petrol/diesel vehicles where fuel duty applies, </w:t>
      </w:r>
      <w:proofErr w:type="spellStart"/>
      <w:r>
        <w:t>eVED</w:t>
      </w:r>
      <w:proofErr w:type="spellEnd"/>
      <w:r>
        <w:t xml:space="preserve"> will also apply to cars that are leased. The leasing company will typically be responsible for paying </w:t>
      </w:r>
      <w:proofErr w:type="spellStart"/>
      <w:r>
        <w:t>eVED</w:t>
      </w:r>
      <w:proofErr w:type="spellEnd"/>
      <w:r>
        <w:t xml:space="preserve"> and can choose how to pass on to their customers.</w:t>
      </w:r>
    </w:p>
    <w:p w14:paraId="068C2F87" w14:textId="77777777" w:rsidR="00180830" w:rsidRDefault="00180830" w:rsidP="00E423CE">
      <w:pPr>
        <w:pStyle w:val="Heading2"/>
      </w:pPr>
      <w:r w:rsidRPr="00D54250">
        <w:lastRenderedPageBreak/>
        <w:t>Is any consideration being given to recycling part of the revenue to offset costs for disabled drivers or improve charging provision in underserved areas?</w:t>
      </w:r>
    </w:p>
    <w:p w14:paraId="5D27B192" w14:textId="6AEB4021" w:rsidR="00180830" w:rsidRPr="00D54250" w:rsidRDefault="00180830" w:rsidP="00E423CE">
      <w:pPr>
        <w:pStyle w:val="BodyText"/>
      </w:pPr>
      <w:r>
        <w:t xml:space="preserve">Paragraphs 3.13 – 3.15 of the consultation discuss revenue from </w:t>
      </w:r>
      <w:proofErr w:type="spellStart"/>
      <w:r>
        <w:t>eVED</w:t>
      </w:r>
      <w:proofErr w:type="spellEnd"/>
      <w:r>
        <w:t xml:space="preserve">. In general, it is proposed that this will replace declining fuel duty revenue. However, it does not mention any specific proposals to </w:t>
      </w:r>
      <w:r w:rsidRPr="00E31D8B">
        <w:t>offset costs for disabled drivers or improve charging provision in underserved areas</w:t>
      </w:r>
      <w:r>
        <w:t>.</w:t>
      </w:r>
    </w:p>
    <w:p w14:paraId="56D42732" w14:textId="77777777" w:rsidR="00180830" w:rsidRPr="00D54250" w:rsidRDefault="00180830" w:rsidP="00E423CE">
      <w:pPr>
        <w:pStyle w:val="HoCHeading1NoPageBreak"/>
      </w:pPr>
      <w:r w:rsidRPr="00D54250">
        <w:t>Luxury car tax (Expensive Car Supplement)</w:t>
      </w:r>
    </w:p>
    <w:p w14:paraId="60F7BFD4" w14:textId="501E7A91" w:rsidR="00180830" w:rsidRDefault="00180830" w:rsidP="00B21FED">
      <w:pPr>
        <w:pStyle w:val="Heading2"/>
      </w:pPr>
      <w:r w:rsidRPr="00D54250">
        <w:t xml:space="preserve">Has consideration been given to the distortion created by applying the supplement for up to six years regardless of depreciation or change of ownership, particularly its impact on the second-hand EV market? </w:t>
      </w:r>
      <w:r w:rsidRPr="00D54250">
        <w:rPr>
          <w:rFonts w:ascii="Calibri" w:hAnsi="Calibri" w:cs="Calibri"/>
        </w:rPr>
        <w:t> </w:t>
      </w:r>
      <w:r w:rsidRPr="00D54250">
        <w:t>Would reducing the duration of the supplement or introducing automatic indexation of the threshold be compatible with the Government</w:t>
      </w:r>
      <w:r w:rsidRPr="00D54250">
        <w:rPr>
          <w:rFonts w:ascii="National-LFSN Book" w:hAnsi="National-LFSN Book" w:cs="National-LFSN Book"/>
        </w:rPr>
        <w:t>’</w:t>
      </w:r>
      <w:r w:rsidRPr="00D54250">
        <w:t>s stated objective of supporting EV uptake?</w:t>
      </w:r>
      <w:r>
        <w:t xml:space="preserve"> (Antony Seely)</w:t>
      </w:r>
    </w:p>
    <w:p w14:paraId="29D9ECA2" w14:textId="77777777" w:rsidR="00180830" w:rsidRPr="0006008D" w:rsidRDefault="00180830" w:rsidP="00B21FED">
      <w:pPr>
        <w:pStyle w:val="BodyText"/>
      </w:pPr>
      <w:r w:rsidRPr="0006008D">
        <w:t xml:space="preserve">The expensive car supplement (ECS) is a supplement in addition to the standard rate of Vehicle Excise Duty (VED), which is applied to cars with a list price of over £40,000. This charge was introduced in 2017, as part of a series of reforms to the VED announced by the Conservative government in its summer 2015 Budget (HMRC, </w:t>
      </w:r>
      <w:hyperlink r:id="rId18" w:history="1">
        <w:r w:rsidRPr="00B21FED">
          <w:rPr>
            <w:rStyle w:val="Hyperlink"/>
          </w:rPr>
          <w:t>Vehicle excise duty</w:t>
        </w:r>
      </w:hyperlink>
      <w:r w:rsidRPr="0006008D">
        <w:t>, 8 July 2015). The charge applies for five years, after the first year of registration.</w:t>
      </w:r>
    </w:p>
    <w:p w14:paraId="48B55DC8" w14:textId="77777777" w:rsidR="00180830" w:rsidRPr="0006008D" w:rsidRDefault="00180830" w:rsidP="00B21FED">
      <w:pPr>
        <w:pStyle w:val="BodyText"/>
      </w:pPr>
      <w:r w:rsidRPr="0006008D">
        <w:t>As noted in answer to a recent PQ about amending the ECS in this way, the government has no plans to change the scheme’s scope (</w:t>
      </w:r>
      <w:hyperlink r:id="rId19" w:history="1">
        <w:r w:rsidRPr="00B21FED">
          <w:rPr>
            <w:rStyle w:val="Hyperlink"/>
          </w:rPr>
          <w:t>PQ103368</w:t>
        </w:r>
      </w:hyperlink>
      <w:r w:rsidRPr="0006008D">
        <w:t xml:space="preserve">, 12 January 2026). </w:t>
      </w:r>
    </w:p>
    <w:p w14:paraId="5DA2A456" w14:textId="227A0CC3" w:rsidR="00180830" w:rsidRPr="00D54250" w:rsidRDefault="00180830" w:rsidP="00B21FED">
      <w:pPr>
        <w:pStyle w:val="BodyText"/>
      </w:pPr>
      <w:r w:rsidRPr="0006008D">
        <w:t>That said, in the 2025 Budget the government announced that it would increase the ECS threshold to £50,000 from 1 April 2026 for zero emission cars, as one of a series of measures to support the electric vehicle transition (</w:t>
      </w:r>
      <w:hyperlink r:id="rId20" w:history="1">
        <w:r w:rsidRPr="00B21FED">
          <w:rPr>
            <w:rStyle w:val="Hyperlink"/>
          </w:rPr>
          <w:t>Budget 2025</w:t>
        </w:r>
      </w:hyperlink>
      <w:r w:rsidRPr="0006008D">
        <w:t xml:space="preserve"> HC 1492 (PDF), November 2025, pp39-40 (Box 2.C); HMRC, </w:t>
      </w:r>
      <w:hyperlink r:id="rId21" w:history="1">
        <w:r w:rsidRPr="00B21FED">
          <w:rPr>
            <w:rStyle w:val="Hyperlink"/>
          </w:rPr>
          <w:t>Increase in the Vehicle Excise Duty Expensive Car Supplement threshold for zero emission cars</w:t>
        </w:r>
      </w:hyperlink>
      <w:r w:rsidRPr="0006008D">
        <w:t xml:space="preserve">, 26 November 2025). In the </w:t>
      </w:r>
      <w:r w:rsidRPr="0006008D">
        <w:lastRenderedPageBreak/>
        <w:t>Autumn 2024 Budget the government had stated that it had recognised the disproportionate impact of the threshold for those purchasing zero emission cars and it would consider raising the threshold for zero emission cars only at a future fiscal event, to make it easier to buy electric cars (</w:t>
      </w:r>
      <w:hyperlink r:id="rId22" w:history="1">
        <w:r w:rsidRPr="00B21FED">
          <w:rPr>
            <w:rStyle w:val="Hyperlink"/>
          </w:rPr>
          <w:t>Autumn Budget 2024</w:t>
        </w:r>
      </w:hyperlink>
      <w:r w:rsidRPr="0006008D">
        <w:t xml:space="preserve">, HC 295 (PDF), October 2024 para 5.87). Provision to set the new threshold is included in the </w:t>
      </w:r>
      <w:hyperlink r:id="rId23" w:history="1">
        <w:r w:rsidRPr="00B21FED">
          <w:rPr>
            <w:rStyle w:val="Hyperlink"/>
          </w:rPr>
          <w:t>Finance (No.2) Bill 2024-26</w:t>
        </w:r>
      </w:hyperlink>
      <w:r w:rsidRPr="0006008D">
        <w:t xml:space="preserve"> (specifically clause 94 of the bill). At present the bill is </w:t>
      </w:r>
      <w:hyperlink r:id="rId24" w:history="1">
        <w:r w:rsidRPr="00B21FED">
          <w:rPr>
            <w:rStyle w:val="Hyperlink"/>
          </w:rPr>
          <w:t>being considered by Public Bill Committee</w:t>
        </w:r>
      </w:hyperlink>
      <w:r w:rsidRPr="0006008D">
        <w:t>, and there was a short debate on this clause, although Members did not discuss the question of any wider changes to the ECS (</w:t>
      </w:r>
      <w:hyperlink r:id="rId25" w:history="1">
        <w:r w:rsidRPr="00B21FED">
          <w:rPr>
            <w:rStyle w:val="Hyperlink"/>
          </w:rPr>
          <w:t>Public Bill Committee (Finance Bill), Fourth sitting, 27 January 2026</w:t>
        </w:r>
      </w:hyperlink>
      <w:r w:rsidRPr="0006008D">
        <w:t xml:space="preserve"> cc141-4). </w:t>
      </w:r>
    </w:p>
    <w:p w14:paraId="43874D8F" w14:textId="55871E68" w:rsidR="00180830" w:rsidRPr="00D54250" w:rsidRDefault="00180830" w:rsidP="00B21FED">
      <w:pPr>
        <w:pStyle w:val="HoCHeading1NoPageBreak"/>
      </w:pPr>
      <w:r w:rsidRPr="00D54250">
        <w:t>Salary sacrifice – pensions versus car schemes</w:t>
      </w:r>
      <w:r>
        <w:t xml:space="preserve"> </w:t>
      </w:r>
    </w:p>
    <w:p w14:paraId="6AAD4680" w14:textId="27E0F075" w:rsidR="00180830" w:rsidRPr="00D54250" w:rsidRDefault="00180830" w:rsidP="00B21FED">
      <w:pPr>
        <w:pStyle w:val="Heading2"/>
      </w:pPr>
      <w:r>
        <w:t>H</w:t>
      </w:r>
      <w:r w:rsidRPr="00D54250">
        <w:t>as the Treasury assessed why pension salary sacrifice is being restricted while car salary sacrifice remains untouched and continues to benefit from favourable NIC treatment? Is a more consistent framework across different uses of salary sacrifice under consideration?</w:t>
      </w:r>
    </w:p>
    <w:p w14:paraId="21056980" w14:textId="121C67CA" w:rsidR="00180830" w:rsidRPr="00C05E61" w:rsidRDefault="00180830" w:rsidP="00B21FED">
      <w:pPr>
        <w:pStyle w:val="BodyText"/>
      </w:pPr>
      <w:r w:rsidRPr="00C05E61">
        <w:t>In the 2025 Budget the government announced that it would extend employer and employee NICs on pension contributions above £2,000 per annum made via salary sacrifice from 6 April 2029. It set out its case for doing so in the Budget report, but made no reference to any wider review of the use of salary sacrifice schemes:</w:t>
      </w:r>
    </w:p>
    <w:p w14:paraId="7904BC09" w14:textId="77777777" w:rsidR="00180830" w:rsidRPr="00C05E61" w:rsidRDefault="00180830" w:rsidP="0076269D">
      <w:pPr>
        <w:pStyle w:val="HoCLongquote"/>
      </w:pPr>
      <w:r w:rsidRPr="00C05E61">
        <w:t>The government supports all individuals to save into pensions through a generous system of tax reliefs, worth over £70</w:t>
      </w:r>
      <w:r w:rsidRPr="00C05E61">
        <w:rPr>
          <w:rFonts w:ascii="Calibri" w:hAnsi="Calibri" w:cs="Calibri"/>
        </w:rPr>
        <w:t> </w:t>
      </w:r>
      <w:r w:rsidRPr="00C05E61">
        <w:t xml:space="preserve">billion a year. Salary sacrifice into pension schemes is forecast to almost treble in cost, from </w:t>
      </w:r>
      <w:r w:rsidRPr="00C05E61">
        <w:rPr>
          <w:rFonts w:ascii="National-LFSN Book" w:hAnsi="National-LFSN Book" w:cs="National-LFSN Book"/>
        </w:rPr>
        <w:t>£</w:t>
      </w:r>
      <w:r w:rsidRPr="00C05E61">
        <w:t xml:space="preserve">2.8 billion in 2016-17 to </w:t>
      </w:r>
      <w:r w:rsidRPr="00C05E61">
        <w:rPr>
          <w:rFonts w:ascii="National-LFSN Book" w:hAnsi="National-LFSN Book" w:cs="National-LFSN Book"/>
        </w:rPr>
        <w:t>£</w:t>
      </w:r>
      <w:r w:rsidRPr="00C05E61">
        <w:t xml:space="preserve">8 billion by 2030-31, with the biggest benefits going to the pension contributions for higher earners and minimum wage employees excluded. The government is therefore capping the amount that can be sacrificed without paying NICs at </w:t>
      </w:r>
      <w:r w:rsidRPr="00C05E61">
        <w:rPr>
          <w:rFonts w:ascii="National-LFSN Book" w:hAnsi="National-LFSN Book" w:cs="National-LFSN Book"/>
        </w:rPr>
        <w:t>£</w:t>
      </w:r>
      <w:r w:rsidRPr="00C05E61">
        <w:t xml:space="preserve">2,000 per employee from 2029, protecting lower earners, while retaining generous tax relief on pension contributions in full. </w:t>
      </w:r>
    </w:p>
    <w:p w14:paraId="54CD4A35" w14:textId="77777777" w:rsidR="00180830" w:rsidRPr="00C05E61" w:rsidRDefault="00180830" w:rsidP="0076269D">
      <w:pPr>
        <w:pStyle w:val="HoCLongquote"/>
      </w:pPr>
      <w:r w:rsidRPr="00C05E61">
        <w:t>This pragmatic approach to controlling costs means that employees who contribute up to £2,000 into their pension each year via salary sacrifice can continue to benefit in full, but employee and employer NICs will be charged in the usual way on the amount above £2,000 for the minority of those who contribute above this. The cap means 74% of basic rate taxpayers, and their employers, currently using salary sacrifice will be unaffected by this change.</w:t>
      </w:r>
    </w:p>
    <w:p w14:paraId="646B8E0D" w14:textId="6106A076" w:rsidR="00180830" w:rsidRPr="00C05E61" w:rsidRDefault="00180830" w:rsidP="0076269D">
      <w:pPr>
        <w:pStyle w:val="HoCLongquote"/>
      </w:pPr>
      <w:hyperlink r:id="rId26" w:history="1">
        <w:r w:rsidRPr="0076269D">
          <w:rPr>
            <w:rStyle w:val="Hyperlink"/>
          </w:rPr>
          <w:t>Budget 2025</w:t>
        </w:r>
      </w:hyperlink>
      <w:r w:rsidRPr="00C05E61">
        <w:t xml:space="preserve"> HC 1492 (PDF), November 2025, para 2.45-6</w:t>
      </w:r>
    </w:p>
    <w:p w14:paraId="55970E86" w14:textId="77777777" w:rsidR="00180830" w:rsidRPr="00C05E61" w:rsidRDefault="00180830" w:rsidP="00B21FED">
      <w:pPr>
        <w:pStyle w:val="BodyText"/>
      </w:pPr>
      <w:r w:rsidRPr="00C05E61">
        <w:lastRenderedPageBreak/>
        <w:t xml:space="preserve">The Library briefing </w:t>
      </w:r>
      <w:hyperlink r:id="rId27" w:history="1">
        <w:r w:rsidRPr="00B21FED">
          <w:rPr>
            <w:rStyle w:val="Hyperlink"/>
          </w:rPr>
          <w:t>National Insurance Contributions (Employer Pensions Contributions) Bill - House of Commons Library</w:t>
        </w:r>
      </w:hyperlink>
      <w:r w:rsidRPr="00C05E61">
        <w:t xml:space="preserve"> provides more background on this measure.</w:t>
      </w:r>
    </w:p>
    <w:p w14:paraId="0726F3CA" w14:textId="77777777" w:rsidR="00180830" w:rsidRPr="00C05E61" w:rsidRDefault="00180830" w:rsidP="00B21FED">
      <w:pPr>
        <w:pStyle w:val="BodyText"/>
      </w:pPr>
      <w:r w:rsidRPr="00C05E61">
        <w:t xml:space="preserve">There does not appear to have been any recent debate on the use of salary sacrifice schemes for other benefits, such as cars, although ministers have noted in answer to PQs the role of schemes providing ultra-low and zero emission vehicles in the EV transition (see, for example, </w:t>
      </w:r>
      <w:hyperlink r:id="rId28" w:history="1">
        <w:r w:rsidRPr="00B21FED">
          <w:rPr>
            <w:rStyle w:val="Hyperlink"/>
          </w:rPr>
          <w:t>PQ87577</w:t>
        </w:r>
      </w:hyperlink>
      <w:r w:rsidRPr="00C05E61">
        <w:t xml:space="preserve">, 10 November 2025; </w:t>
      </w:r>
      <w:hyperlink r:id="rId29" w:history="1">
        <w:r w:rsidRPr="00B21FED">
          <w:rPr>
            <w:rStyle w:val="Hyperlink"/>
          </w:rPr>
          <w:t>PQ38255</w:t>
        </w:r>
      </w:hyperlink>
      <w:r w:rsidRPr="00C05E61">
        <w:t>, 18 March 2025).</w:t>
      </w:r>
    </w:p>
    <w:p w14:paraId="7C634912" w14:textId="77777777" w:rsidR="00180830" w:rsidRPr="00D54250" w:rsidRDefault="00180830" w:rsidP="00B21FED">
      <w:pPr>
        <w:pStyle w:val="BodyText"/>
      </w:pPr>
    </w:p>
    <w:p w14:paraId="32DFFD3C" w14:textId="78E19E5E" w:rsidR="00180830" w:rsidRPr="00D54250" w:rsidRDefault="00180830" w:rsidP="0076269D">
      <w:pPr>
        <w:pStyle w:val="HoCHeading1NoPageBreak"/>
      </w:pPr>
      <w:r w:rsidRPr="00D54250">
        <w:t>Cash ISA changes</w:t>
      </w:r>
    </w:p>
    <w:p w14:paraId="5602C3B5" w14:textId="77777777" w:rsidR="00180830" w:rsidRPr="00D54250" w:rsidRDefault="00180830" w:rsidP="0076269D">
      <w:pPr>
        <w:pStyle w:val="Heading2"/>
      </w:pPr>
      <w:r w:rsidRPr="00D54250">
        <w:t xml:space="preserve">What evidence supports the assumption that reducing the cash ISA allowance will materially increase productive investment in UK businesses rather than simply reallocating savings? </w:t>
      </w:r>
      <w:r w:rsidRPr="00D54250">
        <w:rPr>
          <w:rFonts w:ascii="Calibri" w:hAnsi="Calibri" w:cs="Calibri"/>
        </w:rPr>
        <w:t> </w:t>
      </w:r>
      <w:r w:rsidRPr="00D54250">
        <w:t>Has the impact on savers</w:t>
      </w:r>
      <w:r w:rsidRPr="00D54250">
        <w:rPr>
          <w:rFonts w:ascii="National-LFSN Book" w:hAnsi="National-LFSN Book" w:cs="National-LFSN Book"/>
        </w:rPr>
        <w:t>’</w:t>
      </w:r>
      <w:r w:rsidRPr="00D54250">
        <w:t xml:space="preserve"> behaviour and on building society funding been assessed?</w:t>
      </w:r>
    </w:p>
    <w:p w14:paraId="781A195E" w14:textId="77777777" w:rsidR="00180830" w:rsidRDefault="00180830" w:rsidP="0076269D">
      <w:pPr>
        <w:pStyle w:val="BodyText"/>
      </w:pPr>
      <w:r w:rsidRPr="00E24A10">
        <w:t xml:space="preserve">The government announced plans to reduce the limit on cash ISA contributions from £20,000 to £12,000 at the Autumn Budget 2025. </w:t>
      </w:r>
    </w:p>
    <w:p w14:paraId="31B7A6FA" w14:textId="77777777" w:rsidR="00180830" w:rsidRDefault="00180830" w:rsidP="0076269D">
      <w:pPr>
        <w:pStyle w:val="BodyText"/>
      </w:pPr>
      <w:r w:rsidRPr="00E24A10">
        <w:t xml:space="preserve">Justifying the decision, the government said: “Investing £1,000 a year in an average stocks and shares ISA every year since 1999 would have delivered a £50,000 better return than if it was invested in a cash ISA” (Source: HM Treasury, </w:t>
      </w:r>
      <w:hyperlink r:id="rId30" w:history="1">
        <w:r w:rsidRPr="0076269D">
          <w:rPr>
            <w:rStyle w:val="Hyperlink"/>
          </w:rPr>
          <w:t>Budget 2025</w:t>
        </w:r>
      </w:hyperlink>
      <w:r w:rsidRPr="00E24A10">
        <w:t xml:space="preserve">). </w:t>
      </w:r>
    </w:p>
    <w:p w14:paraId="6BE47862" w14:textId="77777777" w:rsidR="00180830" w:rsidRDefault="00180830" w:rsidP="0076269D">
      <w:pPr>
        <w:pStyle w:val="BodyText"/>
      </w:pPr>
      <w:r w:rsidRPr="00E24A10">
        <w:t xml:space="preserve">It did not produce any analysis of how it expects this change might affect savings allocation and what that might mean for productive investment in UK businesses. Nor did it produce an assessment of how this might affect building societies. </w:t>
      </w:r>
    </w:p>
    <w:p w14:paraId="7B7EF7F5" w14:textId="77777777" w:rsidR="00180830" w:rsidRPr="00E24A10" w:rsidRDefault="00180830" w:rsidP="0076269D">
      <w:pPr>
        <w:pStyle w:val="BodyText"/>
      </w:pPr>
      <w:r w:rsidRPr="00E24A10">
        <w:t xml:space="preserve">Research on the impact of the changes is inherently speculative and lacks reliability. </w:t>
      </w:r>
    </w:p>
    <w:p w14:paraId="50FB786D" w14:textId="77777777" w:rsidR="00180830" w:rsidRPr="00E24A10" w:rsidRDefault="00180830" w:rsidP="0076269D">
      <w:pPr>
        <w:pStyle w:val="BodyText"/>
      </w:pPr>
      <w:hyperlink r:id="rId31" w:history="1">
        <w:r w:rsidRPr="0076269D">
          <w:rPr>
            <w:rStyle w:val="Hyperlink"/>
          </w:rPr>
          <w:t>Hampshire Trust Bank</w:t>
        </w:r>
      </w:hyperlink>
      <w:r w:rsidRPr="00E24A10">
        <w:t xml:space="preserve"> surveyed its own cash ISA savers. The vast majority were opposed to such a move, and only 9% would move savings into a stocks and shares ISA, which was the action the government intend to stimulate with such a cap. Almost half said they would put their money into other cash savings accounts which could incur taxes. A quarter said they would consider other investments such as premium bonds, pensions or gold. I can’t say the extent to which these survey results are representative of the views of cash ISA savers more generally. </w:t>
      </w:r>
    </w:p>
    <w:p w14:paraId="5A47C257" w14:textId="77777777" w:rsidR="00180830" w:rsidRDefault="00180830" w:rsidP="0076269D">
      <w:pPr>
        <w:pStyle w:val="BodyText"/>
      </w:pPr>
      <w:hyperlink r:id="rId32" w:history="1">
        <w:r w:rsidRPr="0076269D">
          <w:rPr>
            <w:rStyle w:val="Hyperlink"/>
          </w:rPr>
          <w:t>Atom Bank</w:t>
        </w:r>
      </w:hyperlink>
      <w:r w:rsidRPr="00E24A10">
        <w:t xml:space="preserve"> found if the Cash ISA allowance was reduced, half its Cash ISA savers would save more in other cash savings accounts which may incur tax on interest. 39% said they would not save any more into a stocks and shares ISA though it’s hard to interpret this figure as it’s unclear what proportion of Atom Bank’s Cash ISA customers have a stocks and shares ISA in the first place. </w:t>
      </w:r>
    </w:p>
    <w:p w14:paraId="6849B33E" w14:textId="77777777" w:rsidR="00180830" w:rsidRDefault="00180830" w:rsidP="0076269D">
      <w:pPr>
        <w:pStyle w:val="BodyText"/>
      </w:pPr>
      <w:hyperlink r:id="rId33" w:history="1">
        <w:r w:rsidRPr="0076269D">
          <w:rPr>
            <w:rStyle w:val="Hyperlink"/>
          </w:rPr>
          <w:t>Plum Bank</w:t>
        </w:r>
      </w:hyperlink>
      <w:r w:rsidRPr="00E24A10">
        <w:t xml:space="preserve"> similarly found that reducing the cash ISA limit would likely drive customers towards other cash savings accounts rather than investments. </w:t>
      </w:r>
    </w:p>
    <w:p w14:paraId="1972FC0C" w14:textId="77777777" w:rsidR="00180830" w:rsidRDefault="00180830" w:rsidP="0076269D">
      <w:pPr>
        <w:pStyle w:val="BodyText"/>
      </w:pPr>
      <w:r w:rsidRPr="00E24A10">
        <w:t xml:space="preserve">The </w:t>
      </w:r>
      <w:hyperlink r:id="rId34" w:history="1">
        <w:r w:rsidRPr="0076269D">
          <w:rPr>
            <w:rStyle w:val="Hyperlink"/>
          </w:rPr>
          <w:t>Building Societies Association</w:t>
        </w:r>
      </w:hyperlink>
      <w:r w:rsidRPr="00E24A10">
        <w:t xml:space="preserve"> warned that because cash ISAs are an important source of funding for lenders, reducing the role of cash ISAs could increase borrowing costs, making it harder for first-time buyers to get a mortgage. </w:t>
      </w:r>
    </w:p>
    <w:p w14:paraId="7A90578C" w14:textId="77777777" w:rsidR="00180830" w:rsidRPr="00E24A10" w:rsidRDefault="00180830" w:rsidP="0076269D">
      <w:pPr>
        <w:pStyle w:val="BodyText"/>
      </w:pPr>
      <w:r w:rsidRPr="00E24A10">
        <w:t xml:space="preserve">For further information on the measure please see the Treasury Select Committee’s </w:t>
      </w:r>
      <w:hyperlink r:id="rId35" w:history="1">
        <w:r w:rsidRPr="0076269D">
          <w:rPr>
            <w:rStyle w:val="Hyperlink"/>
          </w:rPr>
          <w:t>Cash Individual Savings Account report</w:t>
        </w:r>
      </w:hyperlink>
      <w:r w:rsidRPr="00E24A10">
        <w:t xml:space="preserve"> and </w:t>
      </w:r>
      <w:hyperlink r:id="rId36" w:history="1">
        <w:r w:rsidRPr="0076269D">
          <w:rPr>
            <w:rStyle w:val="Hyperlink"/>
          </w:rPr>
          <w:t>government response</w:t>
        </w:r>
      </w:hyperlink>
    </w:p>
    <w:p w14:paraId="5433710E" w14:textId="02856B6C" w:rsidR="00180830" w:rsidRPr="00D54250" w:rsidRDefault="00180830" w:rsidP="005629E2">
      <w:pPr>
        <w:pStyle w:val="HoCHeading1NoPageBreak"/>
      </w:pPr>
      <w:r w:rsidRPr="00A65912">
        <w:t xml:space="preserve">Frozen savings limits in means-tested benefits </w:t>
      </w:r>
    </w:p>
    <w:p w14:paraId="5485108F" w14:textId="77777777" w:rsidR="00180830" w:rsidRDefault="00180830" w:rsidP="005629E2">
      <w:pPr>
        <w:pStyle w:val="Heading2"/>
        <w:rPr>
          <w:rFonts w:ascii="Calibri" w:hAnsi="Calibri" w:cs="Calibri"/>
        </w:rPr>
      </w:pPr>
      <w:r w:rsidRPr="00D54250">
        <w:t xml:space="preserve">Is there an active review of the £6,000 and £16,000 capital limits given their long freeze and substantial real-terms erosion? </w:t>
      </w:r>
      <w:r w:rsidRPr="00D54250">
        <w:rPr>
          <w:rFonts w:ascii="Calibri" w:hAnsi="Calibri" w:cs="Calibri"/>
        </w:rPr>
        <w:t> </w:t>
      </w:r>
    </w:p>
    <w:p w14:paraId="54CA73FC" w14:textId="54A4F577" w:rsidR="00A65912" w:rsidRPr="00A65912" w:rsidRDefault="00A65912" w:rsidP="00A65912">
      <w:pPr>
        <w:pStyle w:val="BodyText"/>
      </w:pPr>
      <w:r w:rsidRPr="00A65912">
        <w:t xml:space="preserve">The capital limits for means-tested benefits are not uprated annually or at any other interval laid out in statute. Instead, they have been increased on an ad hoc basis since they were first introduced for national means-tested benefits in the 1930s. </w:t>
      </w:r>
    </w:p>
    <w:p w14:paraId="75D06818" w14:textId="77777777" w:rsidR="00A65912" w:rsidRPr="00A65912" w:rsidRDefault="00A65912" w:rsidP="00A65912">
      <w:pPr>
        <w:pStyle w:val="BodyText"/>
      </w:pPr>
      <w:r w:rsidRPr="00A65912">
        <w:t>The last time they were uprated for working-age benefits was in 2006 when the lower capital limit was increased from £3,000 to £6,000, and the upper capital limit from £8,000 to £16,000.</w:t>
      </w:r>
    </w:p>
    <w:p w14:paraId="580C5F47" w14:textId="63F83A4C" w:rsidR="00A65912" w:rsidRPr="00A65912" w:rsidRDefault="00A65912" w:rsidP="00A65912">
      <w:pPr>
        <w:pStyle w:val="BodyText"/>
      </w:pPr>
      <w:r w:rsidRPr="00A65912">
        <w:t>Before then, between 1990 and 2006, the lower limit was £3,000 and the upper limit was £8,000.</w:t>
      </w:r>
    </w:p>
    <w:p w14:paraId="1406B92C" w14:textId="4D84BC94" w:rsidR="00A65912" w:rsidRPr="00A65912" w:rsidRDefault="00A65912" w:rsidP="00A65912">
      <w:pPr>
        <w:pStyle w:val="BodyText"/>
      </w:pPr>
      <w:hyperlink r:id="rId37" w:history="1">
        <w:r w:rsidRPr="00A65912">
          <w:rPr>
            <w:rStyle w:val="Hyperlink"/>
          </w:rPr>
          <w:t>Section 150(1) of the Social Security Administration Act 1992</w:t>
        </w:r>
      </w:hyperlink>
      <w:r w:rsidRPr="00A65912">
        <w:t xml:space="preserve"> (as amended) requires that in each tax year the Secretary of State for Work and Pensions reviews the rates of various social security benefits and pensions “in order to determine whether they have retained their value in relation to the general level of prices obtaining in Great Britain estimated in such manner as the Secretary of State thinks fit.” There is, however, no statutory duty to uprate the levels of means-tested benefits in line with prices, including the capital limit levels.</w:t>
      </w:r>
    </w:p>
    <w:p w14:paraId="08271DA0" w14:textId="77777777" w:rsidR="00A65912" w:rsidRPr="00A65912" w:rsidRDefault="00A65912" w:rsidP="00A65912">
      <w:pPr>
        <w:pStyle w:val="BodyText"/>
      </w:pPr>
      <w:r w:rsidRPr="00A65912">
        <w:t xml:space="preserve">The government is currently undertaking a review of Universal Credit, “exploring the policy design and structures of Universal Credit” by looking at three broad areas </w:t>
      </w:r>
      <w:r w:rsidRPr="00A65912">
        <w:lastRenderedPageBreak/>
        <w:t>(tackling poverty, making work pay, and maximising Universal Credit’s potential and impact) (</w:t>
      </w:r>
      <w:hyperlink r:id="rId38" w:history="1">
        <w:r w:rsidRPr="00A65912">
          <w:rPr>
            <w:rStyle w:val="Hyperlink"/>
          </w:rPr>
          <w:t>PQ 79128, 20 October 2025</w:t>
        </w:r>
      </w:hyperlink>
      <w:r w:rsidRPr="00A65912">
        <w:t>). I have not seen any statement indicating this is reviewing the capital limits specifically.</w:t>
      </w:r>
    </w:p>
    <w:p w14:paraId="0FD91C10" w14:textId="7878CF9B" w:rsidR="00180830" w:rsidRDefault="00A65912" w:rsidP="00A65912">
      <w:pPr>
        <w:pStyle w:val="BodyText"/>
      </w:pPr>
      <w:r w:rsidRPr="00A65912">
        <w:t xml:space="preserve">For further information on the uprating process for benefit levels more generally, see the Commons Library briefing, </w:t>
      </w:r>
      <w:hyperlink r:id="rId39" w:history="1">
        <w:r w:rsidRPr="00A65912">
          <w:rPr>
            <w:rStyle w:val="Hyperlink"/>
          </w:rPr>
          <w:t>How benefit levels are set</w:t>
        </w:r>
      </w:hyperlink>
      <w:r w:rsidRPr="00A65912">
        <w:t xml:space="preserve">. For further information on the capital rules themselves, see our Commons Library casework page, </w:t>
      </w:r>
      <w:hyperlink r:id="rId40" w:history="1">
        <w:r w:rsidRPr="00A65912">
          <w:rPr>
            <w:rStyle w:val="Hyperlink"/>
          </w:rPr>
          <w:t>How savings can affect benefits</w:t>
        </w:r>
      </w:hyperlink>
      <w:r w:rsidRPr="00A65912">
        <w:t>.</w:t>
      </w:r>
    </w:p>
    <w:p w14:paraId="17164AB0" w14:textId="77777777" w:rsidR="00180830" w:rsidRPr="00D54250" w:rsidRDefault="00180830" w:rsidP="005629E2">
      <w:pPr>
        <w:pStyle w:val="Heading2"/>
      </w:pPr>
      <w:r w:rsidRPr="00D54250">
        <w:t>Would uprating these limits with inflation or smoothing the £16,000 cliff-edge be under consideration, and could this be clarified formally on the parliamentary record?</w:t>
      </w:r>
    </w:p>
    <w:p w14:paraId="2705D6A6" w14:textId="77777777" w:rsidR="00A65912" w:rsidRPr="00A65912" w:rsidRDefault="00A65912" w:rsidP="00A65912">
      <w:pPr>
        <w:pStyle w:val="BodyText"/>
      </w:pPr>
      <w:r w:rsidRPr="00A65912">
        <w:t>In October 2025, Sir Stephen Timms, the Minister for Social Security and Disabled People, said in response to a question about the capital limit threshold for disabled people who are unable to work, that “Whilst we keep all policies under review there are no current plans to change the capital limits for disabled customers” (</w:t>
      </w:r>
      <w:hyperlink r:id="rId41" w:history="1">
        <w:r w:rsidRPr="00A65912">
          <w:rPr>
            <w:rStyle w:val="Hyperlink"/>
          </w:rPr>
          <w:t>PQ 84485, 30 October 2025</w:t>
        </w:r>
      </w:hyperlink>
      <w:r w:rsidRPr="00A65912">
        <w:t>).</w:t>
      </w:r>
    </w:p>
    <w:p w14:paraId="2ED87C4E" w14:textId="072881A9" w:rsidR="00A65912" w:rsidRPr="00A65912" w:rsidRDefault="00A65912" w:rsidP="00A65912">
      <w:pPr>
        <w:pStyle w:val="BodyText"/>
      </w:pPr>
      <w:r w:rsidRPr="00A65912">
        <w:t>I cannot find an explicit reference by the current Labour government to their policy on the level of the capital limits in means-tested benefits more generally. You might try asking a parliamentary question on whether the government is looking at the level of the current capital limit thresholds.</w:t>
      </w:r>
    </w:p>
    <w:p w14:paraId="4D3BF03E" w14:textId="43FBB0FC" w:rsidR="00180830" w:rsidRPr="00D54250" w:rsidRDefault="00A65912" w:rsidP="00A65912">
      <w:pPr>
        <w:pStyle w:val="BodyText"/>
      </w:pPr>
      <w:r w:rsidRPr="00A65912">
        <w:t xml:space="preserve">You may be interested to know that in April 2025, the Resolution Foundation published a report, </w:t>
      </w:r>
      <w:hyperlink r:id="rId42" w:history="1">
        <w:r w:rsidRPr="00A65912">
          <w:rPr>
            <w:rStyle w:val="Hyperlink"/>
          </w:rPr>
          <w:t>Saving Penalties</w:t>
        </w:r>
      </w:hyperlink>
      <w:r w:rsidRPr="00A65912">
        <w:t>, which said that had the capital limit thresholds risen with inflation since 2006, “they would now be over £10,000 and £27,000, respectively”. It noted that, as a result, a greater proportion of families on working-age means-tested benefits had been brought into capital means-testing: from 35% of working-age families with savings above £6,000 and 23% above £16,000 in 2006-08, to 46% and 32% respectively by 2020-22. It called on the government to uprate capital limits with inflation annually and to look at the £16,000 upper limit as part of its wider ongoing review of Universal Credit, potentially removing it entirely.</w:t>
      </w:r>
    </w:p>
    <w:p w14:paraId="3132F4A5" w14:textId="5376B7AB" w:rsidR="00180830" w:rsidRPr="00D54250" w:rsidRDefault="00180830" w:rsidP="00832822">
      <w:pPr>
        <w:pStyle w:val="HoCHeading1NoPageBreak"/>
      </w:pPr>
      <w:proofErr w:type="spellStart"/>
      <w:r>
        <w:lastRenderedPageBreak/>
        <w:t>eVED</w:t>
      </w:r>
      <w:proofErr w:type="spellEnd"/>
      <w:r w:rsidR="00832822">
        <w:t xml:space="preserve"> </w:t>
      </w:r>
    </w:p>
    <w:p w14:paraId="0AE038AF" w14:textId="49435449" w:rsidR="00180830" w:rsidRDefault="00180830" w:rsidP="00832822">
      <w:pPr>
        <w:pStyle w:val="Heading2"/>
      </w:pPr>
      <w:r w:rsidRPr="00D54250">
        <w:t xml:space="preserve">Collection method: </w:t>
      </w:r>
      <w:r w:rsidR="00832822">
        <w:t>W</w:t>
      </w:r>
      <w:r w:rsidRPr="00D54250">
        <w:t xml:space="preserve">ill </w:t>
      </w:r>
      <w:proofErr w:type="spellStart"/>
      <w:r w:rsidRPr="00D54250">
        <w:t>eVED</w:t>
      </w:r>
      <w:proofErr w:type="spellEnd"/>
      <w:r w:rsidRPr="00D54250">
        <w:t xml:space="preserve"> be payable annually up-front, monthly, or via another mechanism?</w:t>
      </w:r>
    </w:p>
    <w:p w14:paraId="398E54F1" w14:textId="3F57872E" w:rsidR="00180830" w:rsidRPr="006229C4" w:rsidRDefault="00180830" w:rsidP="00832822">
      <w:pPr>
        <w:pStyle w:val="BodyText"/>
      </w:pPr>
      <w:r>
        <w:t xml:space="preserve">Paragraphs 4.17 – 4.22 of the consultation set out the </w:t>
      </w:r>
      <w:hyperlink r:id="rId43" w:history="1">
        <w:r w:rsidRPr="00832822">
          <w:rPr>
            <w:rStyle w:val="Hyperlink"/>
          </w:rPr>
          <w:t>government’s proposals for collecting payments</w:t>
        </w:r>
      </w:hyperlink>
      <w:r>
        <w:t xml:space="preserve">. This states that motorists will have the option to pay upfront or to split their payment into smaller monthly payments via direct debit.  </w:t>
      </w:r>
    </w:p>
    <w:p w14:paraId="245D6969" w14:textId="77777777" w:rsidR="00180830" w:rsidRDefault="00180830" w:rsidP="00832822">
      <w:pPr>
        <w:pStyle w:val="Heading2"/>
      </w:pPr>
      <w:r w:rsidRPr="00D54250">
        <w:t>Equity and ability to pay: will there be exemptions, reduced rates, caps, or a hardship/grant scheme for disabled people on means-tested and disability benefits (particularly where the vehicle is essential for independence, health appointments, and caring responsibilities)?</w:t>
      </w:r>
    </w:p>
    <w:p w14:paraId="604793E3" w14:textId="48FE6BFF" w:rsidR="00180830" w:rsidRPr="000E5D24" w:rsidRDefault="00180830" w:rsidP="00EF0DFA">
      <w:pPr>
        <w:pStyle w:val="BodyText"/>
      </w:pPr>
      <w:r>
        <w:t xml:space="preserve">As set out above, the consultation document says that </w:t>
      </w:r>
      <w:r w:rsidRPr="00BF3121">
        <w:t>those who receive the mobility component of certain disability-related benefits (principally Disability Living Allowance or Personal Independence Payment)</w:t>
      </w:r>
      <w:r>
        <w:t xml:space="preserve"> will not be exempt from </w:t>
      </w:r>
      <w:proofErr w:type="spellStart"/>
      <w:r w:rsidRPr="00BF3121">
        <w:t>eVED</w:t>
      </w:r>
      <w:proofErr w:type="spellEnd"/>
      <w:r>
        <w:t>.</w:t>
      </w:r>
    </w:p>
    <w:p w14:paraId="35015EC8" w14:textId="77777777" w:rsidR="00180830" w:rsidRDefault="00180830" w:rsidP="00EF0DFA">
      <w:pPr>
        <w:pStyle w:val="Heading2"/>
      </w:pPr>
      <w:r w:rsidRPr="00D54250">
        <w:t>Payment smoothing: if it proceeds, will the Government commit to monthly payment options (or via energy/charging accounts) rather than a single annual payment?</w:t>
      </w:r>
    </w:p>
    <w:p w14:paraId="05FD0B11" w14:textId="7C749004" w:rsidR="00180830" w:rsidRPr="0084208A" w:rsidRDefault="00180830" w:rsidP="00EF0DFA">
      <w:pPr>
        <w:pStyle w:val="BodyText"/>
      </w:pPr>
      <w:r>
        <w:t xml:space="preserve">As set out above, the consultation document says that a monthly payment option will be available.  </w:t>
      </w:r>
    </w:p>
    <w:p w14:paraId="579E4ED6" w14:textId="77777777" w:rsidR="00180830" w:rsidRPr="00D54250" w:rsidRDefault="00180830" w:rsidP="00EF0DFA">
      <w:pPr>
        <w:pStyle w:val="Heading2"/>
      </w:pPr>
      <w:r w:rsidRPr="00D54250">
        <w:lastRenderedPageBreak/>
        <w:t>Interaction with Motability / PIP: how will this affect people whose mobility is already constrained, especially if they cannot access newer “cheap to buy” EVs or need specific models for disability reasons?</w:t>
      </w:r>
    </w:p>
    <w:p w14:paraId="6D3F98BB" w14:textId="334AEBF8" w:rsidR="00180830" w:rsidRDefault="00180830" w:rsidP="00EF0DFA">
      <w:pPr>
        <w:pStyle w:val="BodyText"/>
      </w:pPr>
      <w:r>
        <w:t xml:space="preserve">Motability already offers a variety of EVs, including </w:t>
      </w:r>
      <w:hyperlink r:id="rId44" w:history="1">
        <w:r w:rsidRPr="00EF0DFA">
          <w:rPr>
            <w:rStyle w:val="Hyperlink"/>
          </w:rPr>
          <w:t>electric wheelchair accessible vehicles</w:t>
        </w:r>
      </w:hyperlink>
      <w:r>
        <w:t xml:space="preserve"> (WAVs).</w:t>
      </w:r>
    </w:p>
    <w:p w14:paraId="01017440" w14:textId="77777777" w:rsidR="00A904A9" w:rsidRDefault="00A904A9" w:rsidP="00A904A9">
      <w:pPr>
        <w:pStyle w:val="BodyText"/>
      </w:pPr>
    </w:p>
    <w:p w14:paraId="161D8C56" w14:textId="77777777" w:rsidR="003F75DB" w:rsidRDefault="003F75DB" w:rsidP="00F532E0">
      <w:pPr>
        <w:spacing w:line="0" w:lineRule="auto"/>
      </w:pPr>
    </w:p>
    <w:sectPr w:rsidR="003F75DB" w:rsidSect="00E51F29">
      <w:headerReference w:type="default" r:id="rId45"/>
      <w:footerReference w:type="default" r:id="rId46"/>
      <w:headerReference w:type="first" r:id="rId47"/>
      <w:pgSz w:w="11906" w:h="16838" w:code="9"/>
      <w:pgMar w:top="1928" w:right="1361" w:bottom="1531" w:left="2041"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42">
      <wne:macro wne:macroName="HOC_MONE.MODHOCMOMONE.APPLYHOCBOLDKEYE"/>
    </wne:keymap>
    <wne:keymap wne:kcmPrimary="0249">
      <wne:macro wne:macroName="HOC_MONE.MODHOCMOMONE.APPLYHOCITALICKEYE"/>
    </wne:keymap>
    <wne:keymap wne:kcmPrimary="0255">
      <wne:macro wne:macroName="HOC_MONE.MODHOCMOMONE.APPLYHOCUNDERLINEKEYE"/>
    </wne:keymap>
    <wne:keymap wne:kcmPrimary="0342">
      <wne:macro wne:macroName="HOC_MONE.MODHOCMOMONE.APPLYHOCBOLDKEYE"/>
    </wne:keymap>
    <wne:keymap wne:kcmPrimary="0349">
      <wne:macro wne:macroName="HOC_MONE.MODHOCMOMONE.APPLYHOCITALICKEYE"/>
    </wne:keymap>
    <wne:keymap wne:kcmPrimary="0355">
      <wne:macro wne:macroName="HOC_MONE.MODHOCMOMONE.APPLYHOCUNDERLINEKEYE"/>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B52D2" w14:textId="77777777" w:rsidR="00322B1C" w:rsidRDefault="00322B1C" w:rsidP="002936E2">
      <w:r>
        <w:separator/>
      </w:r>
    </w:p>
  </w:endnote>
  <w:endnote w:type="continuationSeparator" w:id="0">
    <w:p w14:paraId="2111B8C6" w14:textId="77777777" w:rsidR="00322B1C" w:rsidRDefault="00322B1C" w:rsidP="00293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Alt Rg">
    <w:altName w:val="Tahoma"/>
    <w:charset w:val="00"/>
    <w:family w:val="auto"/>
    <w:pitch w:val="variable"/>
    <w:sig w:usb0="800000AF" w:usb1="5000E0FB" w:usb2="00000000" w:usb3="00000000" w:csb0="00000001" w:csb1="00000000"/>
  </w:font>
  <w:font w:name="National-LFSN Book">
    <w:altName w:val="Calibri"/>
    <w:panose1 w:val="00000000000000000000"/>
    <w:charset w:val="00"/>
    <w:family w:val="swiss"/>
    <w:notTrueType/>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National-LFSN Semibd">
    <w:altName w:val="Calibri"/>
    <w:panose1 w:val="00000000000000000000"/>
    <w:charset w:val="00"/>
    <w:family w:val="swiss"/>
    <w:notTrueType/>
    <w:pitch w:val="variable"/>
    <w:sig w:usb0="00000007" w:usb1="00000001" w:usb2="00000000" w:usb3="00000000" w:csb0="00000093" w:csb1="00000000"/>
  </w:font>
  <w:font w:name="MingLiU">
    <w:altName w:val="細明體"/>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bottomFromText="160" w:vertAnchor="page" w:tblpY="16047"/>
      <w:tblOverlap w:val="never"/>
      <w:tblW w:w="8505" w:type="dxa"/>
      <w:tblLayout w:type="fixed"/>
      <w:tblCellMar>
        <w:left w:w="0" w:type="dxa"/>
        <w:right w:w="0" w:type="dxa"/>
      </w:tblCellMar>
      <w:tblLook w:val="04A0" w:firstRow="1" w:lastRow="0" w:firstColumn="1" w:lastColumn="0" w:noHBand="0" w:noVBand="1"/>
    </w:tblPr>
    <w:tblGrid>
      <w:gridCol w:w="8505"/>
    </w:tblGrid>
    <w:tr w:rsidR="00233FEF" w14:paraId="2B59724D" w14:textId="77777777" w:rsidTr="005E0AE3">
      <w:trPr>
        <w:trHeight w:val="280"/>
      </w:trPr>
      <w:tc>
        <w:tcPr>
          <w:tcW w:w="8505" w:type="dxa"/>
          <w:hideMark/>
        </w:tcPr>
        <w:p w14:paraId="454CB8C7" w14:textId="77777777" w:rsidR="00233FEF" w:rsidRDefault="005E0AE3" w:rsidP="005E0AE3">
          <w:pPr>
            <w:pStyle w:val="Footer"/>
          </w:pPr>
          <w:r>
            <w:fldChar w:fldCharType="begin"/>
          </w:r>
          <w:r>
            <w:instrText xml:space="preserve"> PAGE  \* Arabic  \* MERGEFORMAT </w:instrText>
          </w:r>
          <w:r>
            <w:fldChar w:fldCharType="separate"/>
          </w:r>
          <w:r w:rsidR="007F7D80">
            <w:rPr>
              <w:noProof/>
            </w:rPr>
            <w:t>2</w:t>
          </w:r>
          <w:r>
            <w:fldChar w:fldCharType="end"/>
          </w:r>
        </w:p>
      </w:tc>
    </w:tr>
  </w:tbl>
  <w:p w14:paraId="2182BCCE" w14:textId="77777777" w:rsidR="00233FEF" w:rsidRDefault="00233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3187F" w14:textId="77777777" w:rsidR="00322B1C" w:rsidRPr="0079469B" w:rsidRDefault="00322B1C" w:rsidP="004D79BC">
      <w:pPr>
        <w:pStyle w:val="Footer"/>
        <w:pBdr>
          <w:bottom w:val="single" w:sz="4" w:space="1" w:color="006548" w:themeColor="text2"/>
        </w:pBdr>
        <w:jc w:val="left"/>
      </w:pPr>
    </w:p>
  </w:footnote>
  <w:footnote w:type="continuationSeparator" w:id="0">
    <w:p w14:paraId="4E39F156" w14:textId="77777777" w:rsidR="00322B1C" w:rsidRPr="0079469B" w:rsidRDefault="00322B1C" w:rsidP="0079469B">
      <w:pPr>
        <w:pStyle w:val="Footer"/>
        <w:jc w:val="left"/>
      </w:pPr>
    </w:p>
  </w:footnote>
  <w:footnote w:type="continuationNotice" w:id="1">
    <w:p w14:paraId="495E1CB8" w14:textId="77777777" w:rsidR="00322B1C" w:rsidRPr="0079469B" w:rsidRDefault="00322B1C" w:rsidP="0079469B">
      <w:pPr>
        <w:pStyle w:val="Footer"/>
        <w:jc w:val="lef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tblpY="11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519"/>
    </w:tblGrid>
    <w:tr w:rsidR="002350AF" w14:paraId="7CC41099" w14:textId="77777777" w:rsidTr="00E51F29">
      <w:trPr>
        <w:trHeight w:val="285"/>
      </w:trPr>
      <w:tc>
        <w:tcPr>
          <w:tcW w:w="7519" w:type="dxa"/>
          <w:hideMark/>
        </w:tcPr>
        <w:p w14:paraId="4266CC9A" w14:textId="39B25F81" w:rsidR="002350AF" w:rsidRDefault="00F97B5F" w:rsidP="00E51F29">
          <w:pPr>
            <w:pStyle w:val="Header"/>
          </w:pPr>
          <w:r w:rsidRPr="00CA0651">
            <w:t>Commons Library</w:t>
          </w:r>
          <w:r>
            <w:t xml:space="preserve"> Re</w:t>
          </w:r>
          <w:r w:rsidR="008B45A5">
            <w:t>quest Response</w:t>
          </w:r>
        </w:p>
      </w:tc>
    </w:tr>
  </w:tbl>
  <w:p w14:paraId="08BDC9ED" w14:textId="77777777" w:rsidR="002350AF" w:rsidRDefault="002350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AD002" w14:textId="77777777" w:rsidR="00AF4450" w:rsidRDefault="00C334BA" w:rsidP="00AF4450">
    <w:pPr>
      <w:pStyle w:val="Header"/>
    </w:pPr>
    <w:r>
      <w:rPr>
        <w:noProof/>
        <w:lang w:eastAsia="zh-CN"/>
      </w:rPr>
      <w:drawing>
        <wp:anchor distT="0" distB="0" distL="114300" distR="114300" simplePos="0" relativeHeight="251658240" behindDoc="0" locked="1" layoutInCell="1" allowOverlap="1" wp14:anchorId="49C6D71A" wp14:editId="6C36D929">
          <wp:simplePos x="0" y="0"/>
          <wp:positionH relativeFrom="page">
            <wp:posOffset>864870</wp:posOffset>
          </wp:positionH>
          <wp:positionV relativeFrom="page">
            <wp:posOffset>810260</wp:posOffset>
          </wp:positionV>
          <wp:extent cx="2340000" cy="468000"/>
          <wp:effectExtent l="0" t="0" r="3175" b="8255"/>
          <wp:wrapNone/>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Logo 0.101.72.png"/>
                  <pic:cNvPicPr/>
                </pic:nvPicPr>
                <pic:blipFill>
                  <a:blip r:embed="rId1">
                    <a:extLst>
                      <a:ext uri="{28A0092B-C50C-407E-A947-70E740481C1C}">
                        <a14:useLocalDpi xmlns:a14="http://schemas.microsoft.com/office/drawing/2010/main" val="0"/>
                      </a:ext>
                    </a:extLst>
                  </a:blip>
                  <a:stretch>
                    <a:fillRect/>
                  </a:stretch>
                </pic:blipFill>
                <pic:spPr>
                  <a:xfrm>
                    <a:off x="0" y="0"/>
                    <a:ext cx="2340000" cy="468000"/>
                  </a:xfrm>
                  <a:prstGeom prst="rect">
                    <a:avLst/>
                  </a:prstGeom>
                </pic:spPr>
              </pic:pic>
            </a:graphicData>
          </a:graphic>
          <wp14:sizeRelH relativeFrom="margin">
            <wp14:pctWidth>0</wp14:pctWidth>
          </wp14:sizeRelH>
          <wp14:sizeRelV relativeFrom="margin">
            <wp14:pctHeight>0</wp14:pctHeight>
          </wp14:sizeRelV>
        </wp:anchor>
      </w:drawing>
    </w:r>
  </w:p>
  <w:p w14:paraId="244AA2A3" w14:textId="77777777" w:rsidR="00AF4450" w:rsidRDefault="00AF4450" w:rsidP="00AF4450">
    <w:pPr>
      <w:pStyle w:val="Header"/>
    </w:pPr>
  </w:p>
  <w:p w14:paraId="5E4E0CBF" w14:textId="77777777" w:rsidR="00EF0DFA" w:rsidRDefault="00EF0D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3662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44CD8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FDA58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3E6DB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CCE5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B5263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45A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8F3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4A6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3094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37540B"/>
    <w:multiLevelType w:val="hybridMultilevel"/>
    <w:tmpl w:val="C2667D20"/>
    <w:lvl w:ilvl="0" w:tplc="511AD5F8">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276D13"/>
    <w:multiLevelType w:val="hybridMultilevel"/>
    <w:tmpl w:val="3DBE1B18"/>
    <w:lvl w:ilvl="0" w:tplc="2EFAAD3A">
      <w:start w:val="1"/>
      <w:numFmt w:val="bullet"/>
      <w:lvlText w:val="-"/>
      <w:lvlJc w:val="left"/>
      <w:pPr>
        <w:ind w:left="720" w:hanging="360"/>
      </w:pPr>
      <w:rPr>
        <w:rFonts w:ascii="Arial" w:hAnsi="Arial" w:hint="default"/>
        <w:b w:val="0"/>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5329B5"/>
    <w:multiLevelType w:val="multilevel"/>
    <w:tmpl w:val="7A1AC66C"/>
    <w:lvl w:ilvl="0">
      <w:start w:val="1"/>
      <w:numFmt w:val="bullet"/>
      <w:pStyle w:val="HoCQuotationBullets"/>
      <w:lvlText w:val=""/>
      <w:lvlJc w:val="left"/>
      <w:pPr>
        <w:ind w:left="1571" w:hanging="360"/>
      </w:pPr>
      <w:rPr>
        <w:rFonts w:ascii="Symbol" w:hAnsi="Symbol" w:hint="default"/>
        <w:b w:val="0"/>
        <w:i w:val="0"/>
        <w:color w:val="006548" w:themeColor="text2"/>
      </w:rPr>
    </w:lvl>
    <w:lvl w:ilvl="1">
      <w:start w:val="1"/>
      <w:numFmt w:val="bullet"/>
      <w:pStyle w:val="HoCQuotationBulletsLevel2"/>
      <w:lvlText w:val="–"/>
      <w:lvlJc w:val="left"/>
      <w:pPr>
        <w:ind w:left="2291" w:hanging="360"/>
      </w:pPr>
      <w:rPr>
        <w:rFonts w:ascii="Proxima Nova Alt Rg" w:hAnsi="Proxima Nova Alt Rg" w:hint="default"/>
        <w:color w:val="006548" w:themeColor="text2"/>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3" w15:restartNumberingAfterBreak="0">
    <w:nsid w:val="2F6D19FA"/>
    <w:multiLevelType w:val="multilevel"/>
    <w:tmpl w:val="E06E5EF0"/>
    <w:lvl w:ilvl="0">
      <w:start w:val="1"/>
      <w:numFmt w:val="bullet"/>
      <w:pStyle w:val="HoCListBulletLevel1"/>
      <w:lvlText w:val=""/>
      <w:lvlJc w:val="left"/>
      <w:pPr>
        <w:ind w:left="454" w:hanging="454"/>
      </w:pPr>
      <w:rPr>
        <w:rFonts w:ascii="Symbol" w:hAnsi="Symbol" w:hint="default"/>
        <w:color w:val="006548" w:themeColor="text2"/>
        <w:sz w:val="20"/>
      </w:rPr>
    </w:lvl>
    <w:lvl w:ilvl="1">
      <w:start w:val="1"/>
      <w:numFmt w:val="bullet"/>
      <w:pStyle w:val="HoCListBulletLevel2"/>
      <w:lvlText w:val="–"/>
      <w:lvlJc w:val="left"/>
      <w:pPr>
        <w:ind w:left="454" w:firstLine="510"/>
      </w:pPr>
      <w:rPr>
        <w:rFonts w:ascii="Proxima Nova Alt Rg" w:hAnsi="Proxima Nova Alt Rg"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29B21EB"/>
    <w:multiLevelType w:val="multilevel"/>
    <w:tmpl w:val="731C9DE6"/>
    <w:lvl w:ilvl="0">
      <w:start w:val="1"/>
      <w:numFmt w:val="decimal"/>
      <w:pStyle w:val="HoCBoxNumberedLevel1"/>
      <w:lvlText w:val="%1."/>
      <w:lvlJc w:val="left"/>
      <w:pPr>
        <w:ind w:left="584" w:hanging="454"/>
      </w:pPr>
      <w:rPr>
        <w:rFonts w:hint="default"/>
        <w:color w:val="000000" w:themeColor="text1"/>
      </w:rPr>
    </w:lvl>
    <w:lvl w:ilvl="1">
      <w:start w:val="1"/>
      <w:numFmt w:val="lowerLetter"/>
      <w:pStyle w:val="HoCBoxNumberedLevel2"/>
      <w:lvlText w:val="%2."/>
      <w:lvlJc w:val="left"/>
      <w:pPr>
        <w:ind w:left="1038" w:hanging="454"/>
      </w:pPr>
      <w:rPr>
        <w:rFonts w:hint="default"/>
      </w:rPr>
    </w:lvl>
    <w:lvl w:ilvl="2">
      <w:start w:val="1"/>
      <w:numFmt w:val="lowerRoman"/>
      <w:lvlText w:val="%3."/>
      <w:lvlJc w:val="right"/>
      <w:pPr>
        <w:ind w:left="2290" w:hanging="180"/>
      </w:pPr>
      <w:rPr>
        <w:rFonts w:hint="default"/>
      </w:rPr>
    </w:lvl>
    <w:lvl w:ilvl="3">
      <w:start w:val="1"/>
      <w:numFmt w:val="decimal"/>
      <w:lvlText w:val="%4."/>
      <w:lvlJc w:val="left"/>
      <w:pPr>
        <w:ind w:left="3010" w:hanging="360"/>
      </w:pPr>
      <w:rPr>
        <w:rFonts w:hint="default"/>
      </w:rPr>
    </w:lvl>
    <w:lvl w:ilvl="4">
      <w:start w:val="1"/>
      <w:numFmt w:val="lowerLetter"/>
      <w:lvlText w:val="%5."/>
      <w:lvlJc w:val="left"/>
      <w:pPr>
        <w:ind w:left="3730" w:hanging="360"/>
      </w:pPr>
      <w:rPr>
        <w:rFonts w:hint="default"/>
      </w:rPr>
    </w:lvl>
    <w:lvl w:ilvl="5">
      <w:start w:val="1"/>
      <w:numFmt w:val="lowerRoman"/>
      <w:lvlText w:val="%6."/>
      <w:lvlJc w:val="right"/>
      <w:pPr>
        <w:ind w:left="4450" w:hanging="180"/>
      </w:pPr>
      <w:rPr>
        <w:rFonts w:hint="default"/>
      </w:rPr>
    </w:lvl>
    <w:lvl w:ilvl="6">
      <w:start w:val="1"/>
      <w:numFmt w:val="decimal"/>
      <w:lvlText w:val="%7."/>
      <w:lvlJc w:val="left"/>
      <w:pPr>
        <w:ind w:left="5170" w:hanging="360"/>
      </w:pPr>
      <w:rPr>
        <w:rFonts w:hint="default"/>
      </w:rPr>
    </w:lvl>
    <w:lvl w:ilvl="7">
      <w:start w:val="1"/>
      <w:numFmt w:val="lowerLetter"/>
      <w:lvlText w:val="%8."/>
      <w:lvlJc w:val="left"/>
      <w:pPr>
        <w:ind w:left="5890" w:hanging="360"/>
      </w:pPr>
      <w:rPr>
        <w:rFonts w:hint="default"/>
      </w:rPr>
    </w:lvl>
    <w:lvl w:ilvl="8">
      <w:start w:val="1"/>
      <w:numFmt w:val="lowerRoman"/>
      <w:lvlText w:val="%9."/>
      <w:lvlJc w:val="right"/>
      <w:pPr>
        <w:ind w:left="6610" w:hanging="180"/>
      </w:pPr>
      <w:rPr>
        <w:rFonts w:hint="default"/>
      </w:rPr>
    </w:lvl>
  </w:abstractNum>
  <w:abstractNum w:abstractNumId="15" w15:restartNumberingAfterBreak="0">
    <w:nsid w:val="3F5722FD"/>
    <w:multiLevelType w:val="hybridMultilevel"/>
    <w:tmpl w:val="F794A726"/>
    <w:lvl w:ilvl="0" w:tplc="2A0EA8DC">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9532C9"/>
    <w:multiLevelType w:val="multilevel"/>
    <w:tmpl w:val="ECC84B5C"/>
    <w:lvl w:ilvl="0">
      <w:start w:val="1"/>
      <w:numFmt w:val="decimal"/>
      <w:lvlText w:val="%1"/>
      <w:lvlJc w:val="left"/>
      <w:pPr>
        <w:ind w:left="0" w:hanging="2563"/>
      </w:pPr>
      <w:rPr>
        <w:rFonts w:hint="default"/>
      </w:rPr>
    </w:lvl>
    <w:lvl w:ilvl="1">
      <w:start w:val="1"/>
      <w:numFmt w:val="decimal"/>
      <w:lvlText w:val="%1.%2"/>
      <w:lvlJc w:val="left"/>
      <w:pPr>
        <w:ind w:left="0" w:hanging="256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1E76EF3"/>
    <w:multiLevelType w:val="multilevel"/>
    <w:tmpl w:val="579683E4"/>
    <w:lvl w:ilvl="0">
      <w:start w:val="1"/>
      <w:numFmt w:val="decimal"/>
      <w:pStyle w:val="HoCHeading1Numbered"/>
      <w:lvlText w:val="%1"/>
      <w:lvlJc w:val="left"/>
      <w:pPr>
        <w:ind w:left="0" w:hanging="680"/>
      </w:pPr>
      <w:rPr>
        <w:rFonts w:hint="default"/>
      </w:rPr>
    </w:lvl>
    <w:lvl w:ilvl="1">
      <w:start w:val="1"/>
      <w:numFmt w:val="decimal"/>
      <w:pStyle w:val="HoCHeading2Numbered"/>
      <w:lvlText w:val="%1.%2"/>
      <w:lvlJc w:val="left"/>
      <w:pPr>
        <w:ind w:left="0" w:hanging="6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D283A68"/>
    <w:multiLevelType w:val="multilevel"/>
    <w:tmpl w:val="523E87D8"/>
    <w:lvl w:ilvl="0">
      <w:start w:val="1"/>
      <w:numFmt w:val="decimal"/>
      <w:pStyle w:val="HoCQuotationNumbers"/>
      <w:lvlText w:val="%1."/>
      <w:lvlJc w:val="left"/>
      <w:pPr>
        <w:ind w:left="907" w:hanging="453"/>
      </w:pPr>
      <w:rPr>
        <w:rFonts w:hint="default"/>
        <w:color w:val="000000" w:themeColor="text1"/>
      </w:rPr>
    </w:lvl>
    <w:lvl w:ilvl="1">
      <w:start w:val="1"/>
      <w:numFmt w:val="lowerLetter"/>
      <w:pStyle w:val="HoCQuotationNumbersLevel2"/>
      <w:lvlText w:val="%2)"/>
      <w:lvlJc w:val="left"/>
      <w:pPr>
        <w:ind w:left="1361" w:hanging="454"/>
      </w:pPr>
      <w:rPr>
        <w:rFonts w:hint="default"/>
      </w:rPr>
    </w:lvl>
    <w:lvl w:ilvl="2">
      <w:start w:val="1"/>
      <w:numFmt w:val="lowerRoman"/>
      <w:lvlText w:val="%3."/>
      <w:lvlJc w:val="right"/>
      <w:pPr>
        <w:ind w:left="3368" w:hanging="180"/>
      </w:pPr>
      <w:rPr>
        <w:rFonts w:hint="default"/>
      </w:rPr>
    </w:lvl>
    <w:lvl w:ilvl="3">
      <w:start w:val="1"/>
      <w:numFmt w:val="decimal"/>
      <w:lvlText w:val="%4."/>
      <w:lvlJc w:val="left"/>
      <w:pPr>
        <w:ind w:left="4088" w:hanging="360"/>
      </w:pPr>
      <w:rPr>
        <w:rFonts w:hint="default"/>
      </w:rPr>
    </w:lvl>
    <w:lvl w:ilvl="4">
      <w:start w:val="1"/>
      <w:numFmt w:val="lowerLetter"/>
      <w:lvlText w:val="%5."/>
      <w:lvlJc w:val="left"/>
      <w:pPr>
        <w:ind w:left="4808" w:hanging="360"/>
      </w:pPr>
      <w:rPr>
        <w:rFonts w:hint="default"/>
      </w:rPr>
    </w:lvl>
    <w:lvl w:ilvl="5">
      <w:start w:val="1"/>
      <w:numFmt w:val="lowerRoman"/>
      <w:lvlText w:val="%6."/>
      <w:lvlJc w:val="right"/>
      <w:pPr>
        <w:ind w:left="5528" w:hanging="180"/>
      </w:pPr>
      <w:rPr>
        <w:rFonts w:hint="default"/>
      </w:rPr>
    </w:lvl>
    <w:lvl w:ilvl="6">
      <w:start w:val="1"/>
      <w:numFmt w:val="decimal"/>
      <w:lvlText w:val="%7."/>
      <w:lvlJc w:val="left"/>
      <w:pPr>
        <w:ind w:left="6248" w:hanging="360"/>
      </w:pPr>
      <w:rPr>
        <w:rFonts w:hint="default"/>
      </w:rPr>
    </w:lvl>
    <w:lvl w:ilvl="7">
      <w:start w:val="1"/>
      <w:numFmt w:val="lowerLetter"/>
      <w:lvlText w:val="%8."/>
      <w:lvlJc w:val="left"/>
      <w:pPr>
        <w:ind w:left="6968" w:hanging="360"/>
      </w:pPr>
      <w:rPr>
        <w:rFonts w:hint="default"/>
      </w:rPr>
    </w:lvl>
    <w:lvl w:ilvl="8">
      <w:start w:val="1"/>
      <w:numFmt w:val="lowerRoman"/>
      <w:lvlText w:val="%9."/>
      <w:lvlJc w:val="right"/>
      <w:pPr>
        <w:ind w:left="7688" w:hanging="180"/>
      </w:pPr>
      <w:rPr>
        <w:rFonts w:hint="default"/>
      </w:rPr>
    </w:lvl>
  </w:abstractNum>
  <w:abstractNum w:abstractNumId="19" w15:restartNumberingAfterBreak="0">
    <w:nsid w:val="4EAB4351"/>
    <w:multiLevelType w:val="multilevel"/>
    <w:tmpl w:val="55368A4A"/>
    <w:lvl w:ilvl="0">
      <w:start w:val="1"/>
      <w:numFmt w:val="decimal"/>
      <w:pStyle w:val="HoCListNumberLevel1"/>
      <w:lvlText w:val="%1."/>
      <w:lvlJc w:val="left"/>
      <w:pPr>
        <w:ind w:left="720" w:hanging="360"/>
      </w:pPr>
      <w:rPr>
        <w:rFonts w:hint="default"/>
        <w:color w:val="auto"/>
      </w:rPr>
    </w:lvl>
    <w:lvl w:ilvl="1">
      <w:start w:val="1"/>
      <w:numFmt w:val="lowerLetter"/>
      <w:pStyle w:val="HoCListNumberLevel2"/>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D973A07"/>
    <w:multiLevelType w:val="hybridMultilevel"/>
    <w:tmpl w:val="C28619A6"/>
    <w:lvl w:ilvl="0" w:tplc="6DBE6F20">
      <w:start w:val="1"/>
      <w:numFmt w:val="bullet"/>
      <w:lvlText w:val="-"/>
      <w:lvlJc w:val="left"/>
      <w:pPr>
        <w:ind w:left="1267" w:hanging="360"/>
      </w:pPr>
      <w:rPr>
        <w:rFonts w:asciiTheme="minorHAnsi" w:hAnsiTheme="minorHAnsi" w:hint="default"/>
        <w:b w:val="0"/>
        <w:i w:val="0"/>
        <w:color w:val="000000" w:themeColor="text1"/>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21" w15:restartNumberingAfterBreak="0">
    <w:nsid w:val="70B93C1B"/>
    <w:multiLevelType w:val="hybridMultilevel"/>
    <w:tmpl w:val="6A1407DA"/>
    <w:lvl w:ilvl="0" w:tplc="08090001">
      <w:start w:val="1"/>
      <w:numFmt w:val="bullet"/>
      <w:lvlText w:val=""/>
      <w:lvlJc w:val="left"/>
      <w:pPr>
        <w:ind w:left="720" w:hanging="360"/>
      </w:pPr>
      <w:rPr>
        <w:rFonts w:ascii="Symbol" w:hAnsi="Symbol" w:hint="default"/>
      </w:rPr>
    </w:lvl>
    <w:lvl w:ilvl="1" w:tplc="3A2C1AAA">
      <w:numFmt w:val="bullet"/>
      <w:lvlText w:val="-"/>
      <w:lvlJc w:val="left"/>
      <w:pPr>
        <w:ind w:left="1440" w:hanging="360"/>
      </w:pPr>
      <w:rPr>
        <w:rFonts w:ascii="Aptos" w:eastAsia="Aptos" w:hAnsi="Aptos"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1C86210"/>
    <w:multiLevelType w:val="hybridMultilevel"/>
    <w:tmpl w:val="7450A036"/>
    <w:lvl w:ilvl="0" w:tplc="7544184E">
      <w:start w:val="1"/>
      <w:numFmt w:val="bullet"/>
      <w:pStyle w:val="HoCInitialSummaryBullets"/>
      <w:lvlText w:val=""/>
      <w:lvlJc w:val="left"/>
      <w:pPr>
        <w:ind w:left="720" w:hanging="360"/>
      </w:pPr>
      <w:rPr>
        <w:rFonts w:ascii="Symbol" w:hAnsi="Symbol" w:hint="default"/>
        <w:color w:val="006548"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3130B8"/>
    <w:multiLevelType w:val="hybridMultilevel"/>
    <w:tmpl w:val="5EB4BB12"/>
    <w:lvl w:ilvl="0" w:tplc="6BBEEEE2">
      <w:start w:val="1"/>
      <w:numFmt w:val="bullet"/>
      <w:pStyle w:val="HoCTableBullet"/>
      <w:lvlText w:val=""/>
      <w:lvlJc w:val="left"/>
      <w:pPr>
        <w:ind w:left="720" w:hanging="360"/>
      </w:pPr>
      <w:rPr>
        <w:rFonts w:ascii="Symbol" w:hAnsi="Symbol" w:hint="default"/>
        <w:color w:val="006548" w:themeColor="text2"/>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0245288">
    <w:abstractNumId w:val="15"/>
  </w:num>
  <w:num w:numId="2" w16cid:durableId="1735547339">
    <w:abstractNumId w:val="16"/>
  </w:num>
  <w:num w:numId="3" w16cid:durableId="1371229082">
    <w:abstractNumId w:val="16"/>
  </w:num>
  <w:num w:numId="4" w16cid:durableId="857698034">
    <w:abstractNumId w:val="13"/>
  </w:num>
  <w:num w:numId="5" w16cid:durableId="1018698944">
    <w:abstractNumId w:val="10"/>
  </w:num>
  <w:num w:numId="6" w16cid:durableId="13156477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39426657">
    <w:abstractNumId w:val="17"/>
  </w:num>
  <w:num w:numId="8" w16cid:durableId="1225725218">
    <w:abstractNumId w:val="11"/>
  </w:num>
  <w:num w:numId="9" w16cid:durableId="537860490">
    <w:abstractNumId w:val="20"/>
  </w:num>
  <w:num w:numId="10" w16cid:durableId="1846239783">
    <w:abstractNumId w:val="19"/>
  </w:num>
  <w:num w:numId="11" w16cid:durableId="1158378829">
    <w:abstractNumId w:val="12"/>
  </w:num>
  <w:num w:numId="12" w16cid:durableId="516313794">
    <w:abstractNumId w:val="18"/>
  </w:num>
  <w:num w:numId="13" w16cid:durableId="1417244673">
    <w:abstractNumId w:val="23"/>
  </w:num>
  <w:num w:numId="14" w16cid:durableId="11097369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12955419">
    <w:abstractNumId w:val="23"/>
  </w:num>
  <w:num w:numId="16" w16cid:durableId="1527987405">
    <w:abstractNumId w:val="14"/>
  </w:num>
  <w:num w:numId="17" w16cid:durableId="7693560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21374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17624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4760727">
    <w:abstractNumId w:val="22"/>
  </w:num>
  <w:num w:numId="21" w16cid:durableId="2068216929">
    <w:abstractNumId w:val="23"/>
  </w:num>
  <w:num w:numId="22" w16cid:durableId="1705866547">
    <w:abstractNumId w:val="9"/>
  </w:num>
  <w:num w:numId="23" w16cid:durableId="353311897">
    <w:abstractNumId w:val="7"/>
  </w:num>
  <w:num w:numId="24" w16cid:durableId="1429502091">
    <w:abstractNumId w:val="6"/>
  </w:num>
  <w:num w:numId="25" w16cid:durableId="490413813">
    <w:abstractNumId w:val="5"/>
  </w:num>
  <w:num w:numId="26" w16cid:durableId="18507846">
    <w:abstractNumId w:val="4"/>
  </w:num>
  <w:num w:numId="27" w16cid:durableId="1461459549">
    <w:abstractNumId w:val="8"/>
  </w:num>
  <w:num w:numId="28" w16cid:durableId="147524654">
    <w:abstractNumId w:val="3"/>
  </w:num>
  <w:num w:numId="29" w16cid:durableId="1567298152">
    <w:abstractNumId w:val="2"/>
  </w:num>
  <w:num w:numId="30" w16cid:durableId="760030673">
    <w:abstractNumId w:val="1"/>
  </w:num>
  <w:num w:numId="31" w16cid:durableId="591551997">
    <w:abstractNumId w:val="0"/>
  </w:num>
  <w:num w:numId="32" w16cid:durableId="1022245065">
    <w:abstractNumId w:val="12"/>
  </w:num>
  <w:num w:numId="33" w16cid:durableId="30539867">
    <w:abstractNumId w:val="12"/>
  </w:num>
  <w:num w:numId="34" w16cid:durableId="891574677">
    <w:abstractNumId w:val="18"/>
  </w:num>
  <w:num w:numId="35" w16cid:durableId="1284851248">
    <w:abstractNumId w:val="18"/>
  </w:num>
  <w:num w:numId="36" w16cid:durableId="123955996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2A9663A-13E6-4C14-BD76-130E293BC6EC}"/>
    <w:docVar w:name="dgnword-eventsink" w:val="1324670072"/>
  </w:docVars>
  <w:rsids>
    <w:rsidRoot w:val="004975DE"/>
    <w:rsid w:val="00000215"/>
    <w:rsid w:val="00005813"/>
    <w:rsid w:val="0000636E"/>
    <w:rsid w:val="00013DDF"/>
    <w:rsid w:val="00020C28"/>
    <w:rsid w:val="00023F6D"/>
    <w:rsid w:val="00030112"/>
    <w:rsid w:val="00041499"/>
    <w:rsid w:val="00063C42"/>
    <w:rsid w:val="0007707C"/>
    <w:rsid w:val="00083A21"/>
    <w:rsid w:val="00087B10"/>
    <w:rsid w:val="000A34AE"/>
    <w:rsid w:val="000B2425"/>
    <w:rsid w:val="000B7AEA"/>
    <w:rsid w:val="000C1196"/>
    <w:rsid w:val="000C3A04"/>
    <w:rsid w:val="000C45FF"/>
    <w:rsid w:val="000E3C8F"/>
    <w:rsid w:val="000E5F6A"/>
    <w:rsid w:val="000E6056"/>
    <w:rsid w:val="000E7FB2"/>
    <w:rsid w:val="000F2668"/>
    <w:rsid w:val="00100CE8"/>
    <w:rsid w:val="0010120A"/>
    <w:rsid w:val="00104382"/>
    <w:rsid w:val="00105C2D"/>
    <w:rsid w:val="001115ED"/>
    <w:rsid w:val="001222D2"/>
    <w:rsid w:val="0012798E"/>
    <w:rsid w:val="00127C27"/>
    <w:rsid w:val="0013024A"/>
    <w:rsid w:val="00130914"/>
    <w:rsid w:val="0013236F"/>
    <w:rsid w:val="00134062"/>
    <w:rsid w:val="00134A8B"/>
    <w:rsid w:val="001375DD"/>
    <w:rsid w:val="00140241"/>
    <w:rsid w:val="001412F6"/>
    <w:rsid w:val="00142E9A"/>
    <w:rsid w:val="001457EB"/>
    <w:rsid w:val="0017488C"/>
    <w:rsid w:val="00177273"/>
    <w:rsid w:val="00180830"/>
    <w:rsid w:val="001A46F7"/>
    <w:rsid w:val="001A56B1"/>
    <w:rsid w:val="001A617D"/>
    <w:rsid w:val="001D0EAC"/>
    <w:rsid w:val="001D2218"/>
    <w:rsid w:val="001D5FFA"/>
    <w:rsid w:val="001E1B7B"/>
    <w:rsid w:val="001E4DE1"/>
    <w:rsid w:val="001F0384"/>
    <w:rsid w:val="001F3E54"/>
    <w:rsid w:val="001F52F9"/>
    <w:rsid w:val="001F5F3B"/>
    <w:rsid w:val="001F65DE"/>
    <w:rsid w:val="002008D6"/>
    <w:rsid w:val="00203F37"/>
    <w:rsid w:val="0023134F"/>
    <w:rsid w:val="00233FEF"/>
    <w:rsid w:val="002350AF"/>
    <w:rsid w:val="00244326"/>
    <w:rsid w:val="002444C9"/>
    <w:rsid w:val="00250B28"/>
    <w:rsid w:val="00253D05"/>
    <w:rsid w:val="00253DA0"/>
    <w:rsid w:val="00261E3B"/>
    <w:rsid w:val="00262BCC"/>
    <w:rsid w:val="00271F6F"/>
    <w:rsid w:val="00273279"/>
    <w:rsid w:val="00275922"/>
    <w:rsid w:val="002838C7"/>
    <w:rsid w:val="002936E2"/>
    <w:rsid w:val="002A279E"/>
    <w:rsid w:val="002A3E13"/>
    <w:rsid w:val="002A6CAB"/>
    <w:rsid w:val="002B06EE"/>
    <w:rsid w:val="002B7C7F"/>
    <w:rsid w:val="002C7C10"/>
    <w:rsid w:val="002D32FD"/>
    <w:rsid w:val="002E0E3A"/>
    <w:rsid w:val="002E0FEB"/>
    <w:rsid w:val="002F47D9"/>
    <w:rsid w:val="00300F0A"/>
    <w:rsid w:val="003018F3"/>
    <w:rsid w:val="00301F22"/>
    <w:rsid w:val="00322561"/>
    <w:rsid w:val="00322B1C"/>
    <w:rsid w:val="00330FAA"/>
    <w:rsid w:val="00333B98"/>
    <w:rsid w:val="00334E35"/>
    <w:rsid w:val="00337988"/>
    <w:rsid w:val="00343D52"/>
    <w:rsid w:val="0035514D"/>
    <w:rsid w:val="003714C4"/>
    <w:rsid w:val="00371AF7"/>
    <w:rsid w:val="00380298"/>
    <w:rsid w:val="003812DE"/>
    <w:rsid w:val="00385783"/>
    <w:rsid w:val="00392A4C"/>
    <w:rsid w:val="00393120"/>
    <w:rsid w:val="003A075C"/>
    <w:rsid w:val="003A4613"/>
    <w:rsid w:val="003A5E7F"/>
    <w:rsid w:val="003A789B"/>
    <w:rsid w:val="003A7FBE"/>
    <w:rsid w:val="003B5C72"/>
    <w:rsid w:val="003B6108"/>
    <w:rsid w:val="003C2F2A"/>
    <w:rsid w:val="003C37FD"/>
    <w:rsid w:val="003D09DB"/>
    <w:rsid w:val="003D38D3"/>
    <w:rsid w:val="003D4A84"/>
    <w:rsid w:val="003D5027"/>
    <w:rsid w:val="003D5859"/>
    <w:rsid w:val="003E1C22"/>
    <w:rsid w:val="003E2E4B"/>
    <w:rsid w:val="003F75DB"/>
    <w:rsid w:val="00401471"/>
    <w:rsid w:val="0041308B"/>
    <w:rsid w:val="0041690B"/>
    <w:rsid w:val="004170DF"/>
    <w:rsid w:val="00420785"/>
    <w:rsid w:val="00426475"/>
    <w:rsid w:val="00430B27"/>
    <w:rsid w:val="00452357"/>
    <w:rsid w:val="0045574B"/>
    <w:rsid w:val="004564FB"/>
    <w:rsid w:val="00457E6A"/>
    <w:rsid w:val="004605CE"/>
    <w:rsid w:val="0046256A"/>
    <w:rsid w:val="0046300E"/>
    <w:rsid w:val="0046621D"/>
    <w:rsid w:val="00466974"/>
    <w:rsid w:val="00475111"/>
    <w:rsid w:val="00483ECF"/>
    <w:rsid w:val="00486D20"/>
    <w:rsid w:val="00492307"/>
    <w:rsid w:val="004975DE"/>
    <w:rsid w:val="004A3BC4"/>
    <w:rsid w:val="004B0936"/>
    <w:rsid w:val="004B2692"/>
    <w:rsid w:val="004B407D"/>
    <w:rsid w:val="004B4085"/>
    <w:rsid w:val="004B5E45"/>
    <w:rsid w:val="004B7094"/>
    <w:rsid w:val="004C2295"/>
    <w:rsid w:val="004C4F04"/>
    <w:rsid w:val="004C77B1"/>
    <w:rsid w:val="004D0050"/>
    <w:rsid w:val="004D30E3"/>
    <w:rsid w:val="004D69A0"/>
    <w:rsid w:val="004D79BC"/>
    <w:rsid w:val="004F3CA8"/>
    <w:rsid w:val="004F471B"/>
    <w:rsid w:val="004F6E0A"/>
    <w:rsid w:val="0050293B"/>
    <w:rsid w:val="00503165"/>
    <w:rsid w:val="00513735"/>
    <w:rsid w:val="00522815"/>
    <w:rsid w:val="00522C1E"/>
    <w:rsid w:val="00524BBA"/>
    <w:rsid w:val="00531AE6"/>
    <w:rsid w:val="00532D0F"/>
    <w:rsid w:val="00533EB5"/>
    <w:rsid w:val="005406F6"/>
    <w:rsid w:val="0054175F"/>
    <w:rsid w:val="005554F7"/>
    <w:rsid w:val="005629E2"/>
    <w:rsid w:val="00562EDD"/>
    <w:rsid w:val="0057040C"/>
    <w:rsid w:val="00572632"/>
    <w:rsid w:val="005755BF"/>
    <w:rsid w:val="0058015B"/>
    <w:rsid w:val="00580888"/>
    <w:rsid w:val="0058407B"/>
    <w:rsid w:val="00593BE0"/>
    <w:rsid w:val="00595878"/>
    <w:rsid w:val="005A598E"/>
    <w:rsid w:val="005B3E80"/>
    <w:rsid w:val="005B40CB"/>
    <w:rsid w:val="005B580A"/>
    <w:rsid w:val="005C0BDB"/>
    <w:rsid w:val="005C1BD7"/>
    <w:rsid w:val="005C4B32"/>
    <w:rsid w:val="005E0AE3"/>
    <w:rsid w:val="005E33A4"/>
    <w:rsid w:val="005E75D6"/>
    <w:rsid w:val="005F17E7"/>
    <w:rsid w:val="005F6A2B"/>
    <w:rsid w:val="00621D32"/>
    <w:rsid w:val="00623051"/>
    <w:rsid w:val="00630B57"/>
    <w:rsid w:val="006338A1"/>
    <w:rsid w:val="00634668"/>
    <w:rsid w:val="00656D85"/>
    <w:rsid w:val="00670ADF"/>
    <w:rsid w:val="006761CA"/>
    <w:rsid w:val="00676E3B"/>
    <w:rsid w:val="0068172F"/>
    <w:rsid w:val="006842D2"/>
    <w:rsid w:val="006959ED"/>
    <w:rsid w:val="006A127B"/>
    <w:rsid w:val="006A1520"/>
    <w:rsid w:val="006A1875"/>
    <w:rsid w:val="006A4524"/>
    <w:rsid w:val="006A4681"/>
    <w:rsid w:val="006A5E84"/>
    <w:rsid w:val="006A64EF"/>
    <w:rsid w:val="006B27AD"/>
    <w:rsid w:val="006B3D57"/>
    <w:rsid w:val="006C40C5"/>
    <w:rsid w:val="006C5669"/>
    <w:rsid w:val="006E1895"/>
    <w:rsid w:val="006F1A93"/>
    <w:rsid w:val="006F228E"/>
    <w:rsid w:val="006F299A"/>
    <w:rsid w:val="00711673"/>
    <w:rsid w:val="00712289"/>
    <w:rsid w:val="00712802"/>
    <w:rsid w:val="00732951"/>
    <w:rsid w:val="00734C40"/>
    <w:rsid w:val="00735F3B"/>
    <w:rsid w:val="00740D08"/>
    <w:rsid w:val="007423CD"/>
    <w:rsid w:val="00743C5E"/>
    <w:rsid w:val="00745D68"/>
    <w:rsid w:val="00746530"/>
    <w:rsid w:val="0075176E"/>
    <w:rsid w:val="00751C73"/>
    <w:rsid w:val="0075423F"/>
    <w:rsid w:val="0075579C"/>
    <w:rsid w:val="00757E82"/>
    <w:rsid w:val="00760A4E"/>
    <w:rsid w:val="0076269D"/>
    <w:rsid w:val="00764C54"/>
    <w:rsid w:val="00777C25"/>
    <w:rsid w:val="00781316"/>
    <w:rsid w:val="00783E7A"/>
    <w:rsid w:val="007900EA"/>
    <w:rsid w:val="0079469B"/>
    <w:rsid w:val="007A29FC"/>
    <w:rsid w:val="007A36AF"/>
    <w:rsid w:val="007A4783"/>
    <w:rsid w:val="007A6F72"/>
    <w:rsid w:val="007B1CC1"/>
    <w:rsid w:val="007B1E2D"/>
    <w:rsid w:val="007C117E"/>
    <w:rsid w:val="007D01E1"/>
    <w:rsid w:val="007D2650"/>
    <w:rsid w:val="007D5D21"/>
    <w:rsid w:val="007E5B50"/>
    <w:rsid w:val="007E7932"/>
    <w:rsid w:val="007F1E2C"/>
    <w:rsid w:val="007F2029"/>
    <w:rsid w:val="007F27C5"/>
    <w:rsid w:val="007F514F"/>
    <w:rsid w:val="007F7D80"/>
    <w:rsid w:val="00805542"/>
    <w:rsid w:val="00805996"/>
    <w:rsid w:val="008149ED"/>
    <w:rsid w:val="00817BC2"/>
    <w:rsid w:val="00832822"/>
    <w:rsid w:val="00832C8F"/>
    <w:rsid w:val="008342DB"/>
    <w:rsid w:val="00841EF3"/>
    <w:rsid w:val="008509F1"/>
    <w:rsid w:val="00854182"/>
    <w:rsid w:val="00854549"/>
    <w:rsid w:val="00855088"/>
    <w:rsid w:val="00873484"/>
    <w:rsid w:val="008858EE"/>
    <w:rsid w:val="00886036"/>
    <w:rsid w:val="00887039"/>
    <w:rsid w:val="00887AC9"/>
    <w:rsid w:val="008906C7"/>
    <w:rsid w:val="00890789"/>
    <w:rsid w:val="00892D49"/>
    <w:rsid w:val="008B0C28"/>
    <w:rsid w:val="008B2367"/>
    <w:rsid w:val="008B3258"/>
    <w:rsid w:val="008B45A5"/>
    <w:rsid w:val="008B5CE3"/>
    <w:rsid w:val="008B60D1"/>
    <w:rsid w:val="008B697B"/>
    <w:rsid w:val="008C16BB"/>
    <w:rsid w:val="008C592D"/>
    <w:rsid w:val="008D746D"/>
    <w:rsid w:val="008E3EF0"/>
    <w:rsid w:val="008F0E0B"/>
    <w:rsid w:val="008F4927"/>
    <w:rsid w:val="008F716A"/>
    <w:rsid w:val="00900B8D"/>
    <w:rsid w:val="00914BF2"/>
    <w:rsid w:val="00914D8F"/>
    <w:rsid w:val="009155DD"/>
    <w:rsid w:val="00921150"/>
    <w:rsid w:val="00924BF2"/>
    <w:rsid w:val="00924EAB"/>
    <w:rsid w:val="009256FC"/>
    <w:rsid w:val="00934480"/>
    <w:rsid w:val="00944F8F"/>
    <w:rsid w:val="00957BBB"/>
    <w:rsid w:val="009609ED"/>
    <w:rsid w:val="00965837"/>
    <w:rsid w:val="00966662"/>
    <w:rsid w:val="00971ADB"/>
    <w:rsid w:val="009746D3"/>
    <w:rsid w:val="00976954"/>
    <w:rsid w:val="009817F1"/>
    <w:rsid w:val="00982F03"/>
    <w:rsid w:val="0098765C"/>
    <w:rsid w:val="00997E95"/>
    <w:rsid w:val="009A4EF8"/>
    <w:rsid w:val="009A72DE"/>
    <w:rsid w:val="009B53C8"/>
    <w:rsid w:val="009C09EA"/>
    <w:rsid w:val="009C1C40"/>
    <w:rsid w:val="009C510C"/>
    <w:rsid w:val="009C544E"/>
    <w:rsid w:val="009C5AA8"/>
    <w:rsid w:val="009D75A7"/>
    <w:rsid w:val="009F47E3"/>
    <w:rsid w:val="009F59C4"/>
    <w:rsid w:val="00A004F5"/>
    <w:rsid w:val="00A017EE"/>
    <w:rsid w:val="00A03EDA"/>
    <w:rsid w:val="00A07558"/>
    <w:rsid w:val="00A109EB"/>
    <w:rsid w:val="00A13FD8"/>
    <w:rsid w:val="00A145D9"/>
    <w:rsid w:val="00A14BCB"/>
    <w:rsid w:val="00A16ECA"/>
    <w:rsid w:val="00A173BA"/>
    <w:rsid w:val="00A25A56"/>
    <w:rsid w:val="00A4745E"/>
    <w:rsid w:val="00A5339F"/>
    <w:rsid w:val="00A65912"/>
    <w:rsid w:val="00A8003E"/>
    <w:rsid w:val="00A904A9"/>
    <w:rsid w:val="00A964B3"/>
    <w:rsid w:val="00AA1959"/>
    <w:rsid w:val="00AA5137"/>
    <w:rsid w:val="00AA5A6A"/>
    <w:rsid w:val="00AA6E2C"/>
    <w:rsid w:val="00AB4E3B"/>
    <w:rsid w:val="00AD54B6"/>
    <w:rsid w:val="00AD7114"/>
    <w:rsid w:val="00AF4450"/>
    <w:rsid w:val="00B04BC8"/>
    <w:rsid w:val="00B072A2"/>
    <w:rsid w:val="00B07309"/>
    <w:rsid w:val="00B100A1"/>
    <w:rsid w:val="00B11FFF"/>
    <w:rsid w:val="00B21FED"/>
    <w:rsid w:val="00B2524F"/>
    <w:rsid w:val="00B26024"/>
    <w:rsid w:val="00B27E54"/>
    <w:rsid w:val="00B3015D"/>
    <w:rsid w:val="00B3782D"/>
    <w:rsid w:val="00B52454"/>
    <w:rsid w:val="00B57E81"/>
    <w:rsid w:val="00B612B6"/>
    <w:rsid w:val="00B640DD"/>
    <w:rsid w:val="00B82269"/>
    <w:rsid w:val="00B9011A"/>
    <w:rsid w:val="00B94DE9"/>
    <w:rsid w:val="00B94F0E"/>
    <w:rsid w:val="00B95E86"/>
    <w:rsid w:val="00B97423"/>
    <w:rsid w:val="00BB61CE"/>
    <w:rsid w:val="00BC1A4F"/>
    <w:rsid w:val="00BC3018"/>
    <w:rsid w:val="00BC54CC"/>
    <w:rsid w:val="00BC7788"/>
    <w:rsid w:val="00BD4F60"/>
    <w:rsid w:val="00BD73D3"/>
    <w:rsid w:val="00BE3FED"/>
    <w:rsid w:val="00BF3FFF"/>
    <w:rsid w:val="00BF7D24"/>
    <w:rsid w:val="00C00175"/>
    <w:rsid w:val="00C02962"/>
    <w:rsid w:val="00C1009E"/>
    <w:rsid w:val="00C11AB3"/>
    <w:rsid w:val="00C1675B"/>
    <w:rsid w:val="00C21A0F"/>
    <w:rsid w:val="00C30EC9"/>
    <w:rsid w:val="00C31D02"/>
    <w:rsid w:val="00C334BA"/>
    <w:rsid w:val="00C3358B"/>
    <w:rsid w:val="00C35563"/>
    <w:rsid w:val="00C374E3"/>
    <w:rsid w:val="00C41F07"/>
    <w:rsid w:val="00C424A2"/>
    <w:rsid w:val="00C56CFB"/>
    <w:rsid w:val="00C57D3A"/>
    <w:rsid w:val="00C6471B"/>
    <w:rsid w:val="00C72DF6"/>
    <w:rsid w:val="00C773AB"/>
    <w:rsid w:val="00C8172F"/>
    <w:rsid w:val="00CA0651"/>
    <w:rsid w:val="00CA1CAA"/>
    <w:rsid w:val="00CA3339"/>
    <w:rsid w:val="00CB78AC"/>
    <w:rsid w:val="00CC3A27"/>
    <w:rsid w:val="00CC67EF"/>
    <w:rsid w:val="00CC7613"/>
    <w:rsid w:val="00CD09BB"/>
    <w:rsid w:val="00CF31F2"/>
    <w:rsid w:val="00CF5393"/>
    <w:rsid w:val="00CF604F"/>
    <w:rsid w:val="00D1499A"/>
    <w:rsid w:val="00D204D8"/>
    <w:rsid w:val="00D23C7D"/>
    <w:rsid w:val="00D37108"/>
    <w:rsid w:val="00D41632"/>
    <w:rsid w:val="00D450D6"/>
    <w:rsid w:val="00D46113"/>
    <w:rsid w:val="00D4651B"/>
    <w:rsid w:val="00D64769"/>
    <w:rsid w:val="00D6684F"/>
    <w:rsid w:val="00D7565B"/>
    <w:rsid w:val="00D767DE"/>
    <w:rsid w:val="00D77B93"/>
    <w:rsid w:val="00D80B6A"/>
    <w:rsid w:val="00D81AC8"/>
    <w:rsid w:val="00D85389"/>
    <w:rsid w:val="00D9070C"/>
    <w:rsid w:val="00D937E1"/>
    <w:rsid w:val="00DA1BFA"/>
    <w:rsid w:val="00DB54BE"/>
    <w:rsid w:val="00DC0100"/>
    <w:rsid w:val="00DC3D5C"/>
    <w:rsid w:val="00DC447E"/>
    <w:rsid w:val="00DD1E4A"/>
    <w:rsid w:val="00DE1FCE"/>
    <w:rsid w:val="00DE6A79"/>
    <w:rsid w:val="00DF01D4"/>
    <w:rsid w:val="00DF1C3C"/>
    <w:rsid w:val="00DF6F5B"/>
    <w:rsid w:val="00E00628"/>
    <w:rsid w:val="00E03710"/>
    <w:rsid w:val="00E04A33"/>
    <w:rsid w:val="00E04B49"/>
    <w:rsid w:val="00E144ED"/>
    <w:rsid w:val="00E16BC3"/>
    <w:rsid w:val="00E346E8"/>
    <w:rsid w:val="00E423CE"/>
    <w:rsid w:val="00E44FF9"/>
    <w:rsid w:val="00E47CC0"/>
    <w:rsid w:val="00E51F29"/>
    <w:rsid w:val="00E53069"/>
    <w:rsid w:val="00E60256"/>
    <w:rsid w:val="00E60D56"/>
    <w:rsid w:val="00E614B2"/>
    <w:rsid w:val="00E62FB1"/>
    <w:rsid w:val="00E647F5"/>
    <w:rsid w:val="00E66B2F"/>
    <w:rsid w:val="00E76CC3"/>
    <w:rsid w:val="00E76D35"/>
    <w:rsid w:val="00E82828"/>
    <w:rsid w:val="00E82C6B"/>
    <w:rsid w:val="00E91960"/>
    <w:rsid w:val="00E9572E"/>
    <w:rsid w:val="00EB492D"/>
    <w:rsid w:val="00EB4ED9"/>
    <w:rsid w:val="00EC2291"/>
    <w:rsid w:val="00EC2E02"/>
    <w:rsid w:val="00ED0E95"/>
    <w:rsid w:val="00EE331E"/>
    <w:rsid w:val="00EE7C9C"/>
    <w:rsid w:val="00EF0DFA"/>
    <w:rsid w:val="00F068E8"/>
    <w:rsid w:val="00F1127E"/>
    <w:rsid w:val="00F1140C"/>
    <w:rsid w:val="00F12C02"/>
    <w:rsid w:val="00F13395"/>
    <w:rsid w:val="00F16BC9"/>
    <w:rsid w:val="00F20699"/>
    <w:rsid w:val="00F263B8"/>
    <w:rsid w:val="00F50478"/>
    <w:rsid w:val="00F532E0"/>
    <w:rsid w:val="00F64330"/>
    <w:rsid w:val="00F65F8D"/>
    <w:rsid w:val="00F74FF0"/>
    <w:rsid w:val="00F750B7"/>
    <w:rsid w:val="00F75F53"/>
    <w:rsid w:val="00F83C60"/>
    <w:rsid w:val="00F841E8"/>
    <w:rsid w:val="00F87259"/>
    <w:rsid w:val="00F9713C"/>
    <w:rsid w:val="00F97B5F"/>
    <w:rsid w:val="00FA14D0"/>
    <w:rsid w:val="00FB0535"/>
    <w:rsid w:val="00FB197B"/>
    <w:rsid w:val="00FB5B5E"/>
    <w:rsid w:val="00FC1D31"/>
    <w:rsid w:val="00FC2626"/>
    <w:rsid w:val="00FC38C1"/>
    <w:rsid w:val="00FD31A1"/>
    <w:rsid w:val="00FD5187"/>
    <w:rsid w:val="00FE588C"/>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446CB"/>
  <w15:docId w15:val="{69692898-6BAD-45AC-A39F-B9994371D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ar-SA"/>
      </w:rPr>
    </w:rPrDefault>
    <w:pPrDefault>
      <w:pPr>
        <w:spacing w:after="160" w:line="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lsdException w:name="heading 6" w:uiPriority="9" w:qFormat="1"/>
    <w:lsdException w:name="heading 7" w:semiHidden="1" w:uiPriority="28" w:qFormat="1"/>
    <w:lsdException w:name="heading 8" w:semiHidden="1" w:uiPriority="28" w:unhideWhenUsed="1" w:qFormat="1"/>
    <w:lsdException w:name="heading 9" w:semiHidden="1" w:uiPriority="2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1" w:qFormat="1"/>
    <w:lsdException w:name="Emphasis" w:uiPriority="4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48" w:qFormat="1"/>
    <w:lsdException w:name="Intense Quote"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0" w:qFormat="1"/>
    <w:lsdException w:name="Intense Emphasis" w:uiPriority="40" w:qFormat="1"/>
    <w:lsdException w:name="Subtle Reference" w:uiPriority="50" w:qFormat="1"/>
    <w:lsdException w:name="Intense Reference" w:uiPriority="51" w:qFormat="1"/>
    <w:lsdException w:name="Book Title" w:uiPriority="52" w:qFormat="1"/>
    <w:lsdException w:name="Bibliography" w:semiHidden="1" w:uiPriority="56"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4"/>
    <w:qFormat/>
    <w:rsid w:val="008B45A5"/>
    <w:pPr>
      <w:spacing w:line="240" w:lineRule="auto"/>
    </w:pPr>
    <w:rPr>
      <w:sz w:val="24"/>
    </w:rPr>
  </w:style>
  <w:style w:type="paragraph" w:styleId="Heading1">
    <w:name w:val="heading 1"/>
    <w:aliases w:val="HoC_Heading 1"/>
    <w:basedOn w:val="HoCNormal"/>
    <w:next w:val="BodyText"/>
    <w:link w:val="Heading1Char"/>
    <w:uiPriority w:val="9"/>
    <w:qFormat/>
    <w:rsid w:val="007F7D80"/>
    <w:pPr>
      <w:keepNext/>
      <w:keepLines/>
      <w:pageBreakBefore/>
      <w:tabs>
        <w:tab w:val="left" w:pos="2835"/>
      </w:tabs>
      <w:spacing w:before="480" w:after="480" w:line="216" w:lineRule="auto"/>
      <w:contextualSpacing/>
      <w:outlineLvl w:val="0"/>
    </w:pPr>
    <w:rPr>
      <w:rFonts w:asciiTheme="majorHAnsi" w:eastAsiaTheme="majorEastAsia" w:hAnsiTheme="majorHAnsi" w:cstheme="majorBidi"/>
      <w:color w:val="006548" w:themeColor="text2"/>
      <w:sz w:val="44"/>
      <w:szCs w:val="32"/>
    </w:rPr>
  </w:style>
  <w:style w:type="paragraph" w:styleId="Heading2">
    <w:name w:val="heading 2"/>
    <w:aliases w:val="HoC_Heading 2"/>
    <w:basedOn w:val="HoCNormal"/>
    <w:next w:val="BodyText"/>
    <w:link w:val="Heading2Char"/>
    <w:uiPriority w:val="9"/>
    <w:qFormat/>
    <w:rsid w:val="00005813"/>
    <w:pPr>
      <w:keepNext/>
      <w:keepLines/>
      <w:spacing w:before="480" w:after="480"/>
      <w:outlineLvl w:val="1"/>
    </w:pPr>
    <w:rPr>
      <w:rFonts w:eastAsiaTheme="majorEastAsia" w:cstheme="majorBidi"/>
      <w:color w:val="006548" w:themeColor="text2"/>
      <w:sz w:val="40"/>
      <w:szCs w:val="26"/>
    </w:rPr>
  </w:style>
  <w:style w:type="paragraph" w:styleId="Heading3">
    <w:name w:val="heading 3"/>
    <w:aliases w:val="HoC_Heading 3"/>
    <w:basedOn w:val="HoCNormal"/>
    <w:next w:val="BodyText"/>
    <w:link w:val="Heading3Char"/>
    <w:qFormat/>
    <w:rsid w:val="00486D20"/>
    <w:pPr>
      <w:keepNext/>
      <w:keepLines/>
      <w:spacing w:before="360" w:after="120"/>
      <w:outlineLvl w:val="2"/>
    </w:pPr>
    <w:rPr>
      <w:rFonts w:asciiTheme="majorHAnsi" w:eastAsiaTheme="majorEastAsia" w:hAnsiTheme="majorHAnsi" w:cstheme="majorBidi"/>
      <w:color w:val="006548" w:themeColor="text2"/>
      <w:sz w:val="32"/>
      <w:szCs w:val="24"/>
    </w:rPr>
  </w:style>
  <w:style w:type="paragraph" w:styleId="Heading4">
    <w:name w:val="heading 4"/>
    <w:aliases w:val="HoC_Heading 4"/>
    <w:basedOn w:val="HoCNormal"/>
    <w:next w:val="BodyText"/>
    <w:link w:val="Heading4Char"/>
    <w:qFormat/>
    <w:rsid w:val="00005813"/>
    <w:pPr>
      <w:keepNext/>
      <w:keepLines/>
      <w:spacing w:before="240"/>
      <w:outlineLvl w:val="3"/>
    </w:pPr>
    <w:rPr>
      <w:rFonts w:asciiTheme="majorHAnsi" w:eastAsiaTheme="majorEastAsia" w:hAnsiTheme="majorHAnsi" w:cstheme="majorBidi"/>
      <w:iCs/>
      <w:color w:val="006548" w:themeColor="text2"/>
    </w:rPr>
  </w:style>
  <w:style w:type="paragraph" w:styleId="Heading5">
    <w:name w:val="heading 5"/>
    <w:aliases w:val="HoC_Heading 2 (No TOC)"/>
    <w:basedOn w:val="Normal"/>
    <w:next w:val="BodyText"/>
    <w:link w:val="Heading5Char"/>
    <w:rsid w:val="001F5F3B"/>
    <w:pPr>
      <w:keepNext/>
      <w:keepLines/>
      <w:spacing w:before="480" w:after="480" w:line="480" w:lineRule="exact"/>
      <w:outlineLvl w:val="4"/>
    </w:pPr>
    <w:rPr>
      <w:rFonts w:eastAsiaTheme="majorEastAsia" w:cstheme="majorBidi"/>
      <w:color w:val="006548" w:themeColor="text2"/>
      <w:sz w:val="40"/>
    </w:rPr>
  </w:style>
  <w:style w:type="paragraph" w:styleId="Heading6">
    <w:name w:val="heading 6"/>
    <w:aliases w:val="HoC_Heading 3 (No TOC)"/>
    <w:basedOn w:val="Normal"/>
    <w:next w:val="BodyText"/>
    <w:link w:val="Heading6Char"/>
    <w:qFormat/>
    <w:rsid w:val="00593BE0"/>
    <w:pPr>
      <w:keepNext/>
      <w:keepLines/>
      <w:spacing w:before="360" w:after="120"/>
      <w:outlineLvl w:val="5"/>
    </w:pPr>
    <w:rPr>
      <w:rFonts w:asciiTheme="majorHAnsi" w:eastAsiaTheme="majorEastAsia" w:hAnsiTheme="majorHAnsi" w:cstheme="majorBidi"/>
      <w:iCs/>
      <w:color w:val="006548" w:themeColor="text2"/>
      <w:sz w:val="32"/>
    </w:rPr>
  </w:style>
  <w:style w:type="paragraph" w:styleId="Heading7">
    <w:name w:val="heading 7"/>
    <w:basedOn w:val="Normal"/>
    <w:next w:val="Normal"/>
    <w:link w:val="Heading7Char"/>
    <w:uiPriority w:val="28"/>
    <w:semiHidden/>
    <w:qFormat/>
    <w:rsid w:val="001222D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28"/>
    <w:semiHidden/>
    <w:unhideWhenUsed/>
    <w:qFormat/>
    <w:rsid w:val="001222D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28"/>
    <w:semiHidden/>
    <w:unhideWhenUsed/>
    <w:qFormat/>
    <w:rsid w:val="001222D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E0AE3"/>
    <w:pPr>
      <w:tabs>
        <w:tab w:val="center" w:pos="4513"/>
        <w:tab w:val="right" w:pos="9026"/>
      </w:tabs>
    </w:pPr>
    <w:rPr>
      <w:color w:val="006548" w:themeColor="text2"/>
      <w:sz w:val="18"/>
    </w:rPr>
  </w:style>
  <w:style w:type="character" w:customStyle="1" w:styleId="HeaderChar">
    <w:name w:val="Header Char"/>
    <w:basedOn w:val="DefaultParagraphFont"/>
    <w:link w:val="Header"/>
    <w:uiPriority w:val="99"/>
    <w:semiHidden/>
    <w:rsid w:val="005E0AE3"/>
    <w:rPr>
      <w:color w:val="006548" w:themeColor="text2"/>
      <w:sz w:val="18"/>
    </w:rPr>
  </w:style>
  <w:style w:type="paragraph" w:styleId="Footer">
    <w:name w:val="footer"/>
    <w:basedOn w:val="HoCNormal"/>
    <w:link w:val="FooterChar"/>
    <w:uiPriority w:val="99"/>
    <w:semiHidden/>
    <w:rsid w:val="005E0AE3"/>
    <w:pPr>
      <w:tabs>
        <w:tab w:val="center" w:pos="4513"/>
        <w:tab w:val="right" w:pos="9026"/>
      </w:tabs>
      <w:spacing w:after="0"/>
      <w:jc w:val="right"/>
    </w:pPr>
    <w:rPr>
      <w:color w:val="006548" w:themeColor="text2"/>
      <w:sz w:val="18"/>
    </w:rPr>
  </w:style>
  <w:style w:type="character" w:customStyle="1" w:styleId="FooterChar">
    <w:name w:val="Footer Char"/>
    <w:basedOn w:val="DefaultParagraphFont"/>
    <w:link w:val="Footer"/>
    <w:uiPriority w:val="99"/>
    <w:semiHidden/>
    <w:rsid w:val="005E0AE3"/>
    <w:rPr>
      <w:color w:val="006548" w:themeColor="text2"/>
      <w:sz w:val="18"/>
    </w:rPr>
  </w:style>
  <w:style w:type="paragraph" w:styleId="ListParagraph">
    <w:name w:val="List Paragraph"/>
    <w:basedOn w:val="Normal"/>
    <w:uiPriority w:val="53"/>
    <w:semiHidden/>
    <w:qFormat/>
    <w:rsid w:val="00FB5B5E"/>
    <w:pPr>
      <w:ind w:left="720"/>
      <w:contextualSpacing/>
    </w:pPr>
  </w:style>
  <w:style w:type="table" w:styleId="TableGrid">
    <w:name w:val="Table Grid"/>
    <w:basedOn w:val="TableNormal"/>
    <w:uiPriority w:val="39"/>
    <w:rsid w:val="00127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HoC_Title"/>
    <w:basedOn w:val="Normal"/>
    <w:next w:val="Normal"/>
    <w:link w:val="TitleChar"/>
    <w:uiPriority w:val="10"/>
    <w:rsid w:val="001412F6"/>
    <w:pPr>
      <w:adjustRightInd w:val="0"/>
      <w:spacing w:before="360" w:after="960" w:line="560" w:lineRule="exact"/>
      <w:ind w:left="-680"/>
      <w:contextualSpacing/>
    </w:pPr>
    <w:rPr>
      <w:rFonts w:asciiTheme="majorHAnsi" w:eastAsiaTheme="majorEastAsia" w:hAnsiTheme="majorHAnsi" w:cstheme="majorBidi"/>
      <w:snapToGrid w:val="0"/>
      <w:color w:val="006548" w:themeColor="text2"/>
      <w:sz w:val="48"/>
      <w:szCs w:val="56"/>
    </w:rPr>
  </w:style>
  <w:style w:type="character" w:customStyle="1" w:styleId="TitleChar">
    <w:name w:val="Title Char"/>
    <w:aliases w:val="HoC_Title Char"/>
    <w:basedOn w:val="DefaultParagraphFont"/>
    <w:link w:val="Title"/>
    <w:uiPriority w:val="10"/>
    <w:rsid w:val="001412F6"/>
    <w:rPr>
      <w:rFonts w:asciiTheme="majorHAnsi" w:eastAsiaTheme="majorEastAsia" w:hAnsiTheme="majorHAnsi" w:cstheme="majorBidi"/>
      <w:snapToGrid w:val="0"/>
      <w:color w:val="006548" w:themeColor="text2"/>
      <w:sz w:val="48"/>
      <w:szCs w:val="56"/>
    </w:rPr>
  </w:style>
  <w:style w:type="paragraph" w:customStyle="1" w:styleId="DocTypeHoC">
    <w:name w:val="DocType_HoC"/>
    <w:basedOn w:val="Normal"/>
    <w:uiPriority w:val="14"/>
    <w:semiHidden/>
    <w:qFormat/>
    <w:rsid w:val="000E5F6A"/>
    <w:pPr>
      <w:framePr w:hSpace="181" w:wrap="around" w:vAnchor="page" w:hAnchor="page" w:x="625" w:y="3137"/>
      <w:spacing w:after="360" w:line="290" w:lineRule="exact"/>
      <w:suppressOverlap/>
    </w:pPr>
    <w:rPr>
      <w:rFonts w:asciiTheme="majorHAnsi" w:hAnsiTheme="majorHAnsi"/>
      <w:color w:val="006548" w:themeColor="text2"/>
    </w:rPr>
  </w:style>
  <w:style w:type="paragraph" w:customStyle="1" w:styleId="HoCAuthorandDate">
    <w:name w:val="HoC_Author and Date"/>
    <w:basedOn w:val="Normal"/>
    <w:uiPriority w:val="2"/>
    <w:semiHidden/>
    <w:qFormat/>
    <w:rsid w:val="0046300E"/>
    <w:pPr>
      <w:framePr w:hSpace="181" w:wrap="around" w:vAnchor="page" w:hAnchor="page" w:x="625" w:y="3137"/>
      <w:spacing w:line="290" w:lineRule="exact"/>
      <w:suppressOverlap/>
    </w:pPr>
    <w:rPr>
      <w:color w:val="006548" w:themeColor="text2"/>
    </w:rPr>
  </w:style>
  <w:style w:type="paragraph" w:customStyle="1" w:styleId="HoCNormal">
    <w:name w:val="HoC_Normal"/>
    <w:basedOn w:val="Normal"/>
    <w:uiPriority w:val="14"/>
    <w:rsid w:val="00AD54B6"/>
  </w:style>
  <w:style w:type="paragraph" w:customStyle="1" w:styleId="REFHoC">
    <w:name w:val="REF_HoC"/>
    <w:basedOn w:val="HoCNormal"/>
    <w:uiPriority w:val="14"/>
    <w:semiHidden/>
    <w:qFormat/>
    <w:rsid w:val="00C21A0F"/>
    <w:rPr>
      <w:color w:val="006548" w:themeColor="text2"/>
    </w:rPr>
  </w:style>
  <w:style w:type="paragraph" w:customStyle="1" w:styleId="HoCIntroHeading">
    <w:name w:val="HoC_Intro Heading"/>
    <w:basedOn w:val="Normal"/>
    <w:uiPriority w:val="14"/>
    <w:rsid w:val="005E75D6"/>
    <w:pPr>
      <w:keepNext/>
      <w:spacing w:line="264" w:lineRule="auto"/>
    </w:pPr>
    <w:rPr>
      <w:color w:val="006548" w:themeColor="text2"/>
    </w:rPr>
  </w:style>
  <w:style w:type="paragraph" w:styleId="BodyText">
    <w:name w:val="Body Text"/>
    <w:aliases w:val="HoC_Body Text"/>
    <w:basedOn w:val="HoCNormal"/>
    <w:link w:val="BodyTextChar"/>
    <w:uiPriority w:val="1"/>
    <w:qFormat/>
    <w:rsid w:val="00CC67EF"/>
    <w:pPr>
      <w:spacing w:after="240" w:line="230" w:lineRule="auto"/>
    </w:pPr>
  </w:style>
  <w:style w:type="character" w:customStyle="1" w:styleId="BodyTextChar">
    <w:name w:val="Body Text Char"/>
    <w:aliases w:val="HoC_Body Text Char"/>
    <w:basedOn w:val="DefaultParagraphFont"/>
    <w:link w:val="BodyText"/>
    <w:uiPriority w:val="1"/>
    <w:rsid w:val="00C1675B"/>
    <w:rPr>
      <w:sz w:val="24"/>
    </w:rPr>
  </w:style>
  <w:style w:type="character" w:customStyle="1" w:styleId="Heading1Char">
    <w:name w:val="Heading 1 Char"/>
    <w:aliases w:val="HoC_Heading 1 Char"/>
    <w:basedOn w:val="DefaultParagraphFont"/>
    <w:link w:val="Heading1"/>
    <w:uiPriority w:val="9"/>
    <w:rsid w:val="007F7D80"/>
    <w:rPr>
      <w:rFonts w:asciiTheme="majorHAnsi" w:eastAsiaTheme="majorEastAsia" w:hAnsiTheme="majorHAnsi" w:cstheme="majorBidi"/>
      <w:color w:val="006548" w:themeColor="text2"/>
      <w:sz w:val="44"/>
      <w:szCs w:val="32"/>
    </w:rPr>
  </w:style>
  <w:style w:type="paragraph" w:styleId="TOC2">
    <w:name w:val="toc 2"/>
    <w:aliases w:val="HoC_TOC 2"/>
    <w:basedOn w:val="Normal"/>
    <w:next w:val="Normal"/>
    <w:uiPriority w:val="39"/>
    <w:unhideWhenUsed/>
    <w:rsid w:val="0035514D"/>
    <w:pPr>
      <w:tabs>
        <w:tab w:val="right" w:pos="7519"/>
      </w:tabs>
      <w:spacing w:before="240" w:after="240" w:line="280" w:lineRule="exact"/>
    </w:pPr>
    <w:rPr>
      <w:rFonts w:asciiTheme="majorHAnsi" w:hAnsiTheme="majorHAnsi"/>
    </w:rPr>
  </w:style>
  <w:style w:type="paragraph" w:styleId="TOC1">
    <w:name w:val="toc 1"/>
    <w:aliases w:val="HoC_TOC 1"/>
    <w:basedOn w:val="Normal"/>
    <w:next w:val="Normal"/>
    <w:uiPriority w:val="39"/>
    <w:rsid w:val="004F6E0A"/>
    <w:pPr>
      <w:tabs>
        <w:tab w:val="left" w:pos="480"/>
      </w:tabs>
      <w:spacing w:after="0" w:line="280" w:lineRule="exact"/>
      <w:ind w:left="454" w:hanging="454"/>
    </w:pPr>
    <w:rPr>
      <w:noProof/>
      <w:color w:val="FFFFFF" w:themeColor="background1"/>
    </w:rPr>
  </w:style>
  <w:style w:type="paragraph" w:customStyle="1" w:styleId="HoCHeading0">
    <w:name w:val="HoC_Heading 0"/>
    <w:basedOn w:val="HoCNormal"/>
    <w:next w:val="BodyText"/>
    <w:qFormat/>
    <w:rsid w:val="00DE1FCE"/>
    <w:pPr>
      <w:keepNext/>
      <w:keepLines/>
      <w:spacing w:before="480" w:after="480" w:line="216" w:lineRule="auto"/>
    </w:pPr>
    <w:rPr>
      <w:rFonts w:asciiTheme="majorHAnsi" w:hAnsiTheme="majorHAnsi"/>
      <w:color w:val="006548" w:themeColor="text2"/>
      <w:sz w:val="48"/>
    </w:rPr>
  </w:style>
  <w:style w:type="paragraph" w:customStyle="1" w:styleId="HoCHeading1Numbered">
    <w:name w:val="HoC_Heading 1 Numbered"/>
    <w:basedOn w:val="Heading1"/>
    <w:next w:val="BodyText"/>
    <w:qFormat/>
    <w:rsid w:val="000B2425"/>
    <w:pPr>
      <w:numPr>
        <w:numId w:val="7"/>
      </w:numPr>
    </w:pPr>
  </w:style>
  <w:style w:type="paragraph" w:customStyle="1" w:styleId="HoCListBulletLevel1">
    <w:name w:val="HoC_List Bullet Level 1"/>
    <w:basedOn w:val="HoCNormal"/>
    <w:uiPriority w:val="1"/>
    <w:qFormat/>
    <w:rsid w:val="00D1499A"/>
    <w:pPr>
      <w:numPr>
        <w:numId w:val="4"/>
      </w:numPr>
      <w:spacing w:after="240" w:line="230" w:lineRule="auto"/>
    </w:pPr>
  </w:style>
  <w:style w:type="paragraph" w:customStyle="1" w:styleId="HoCCallout">
    <w:name w:val="HoC_Callout"/>
    <w:basedOn w:val="HoCNormal"/>
    <w:uiPriority w:val="14"/>
    <w:qFormat/>
    <w:rsid w:val="00621D32"/>
    <w:pPr>
      <w:framePr w:w="2325" w:hSpace="181" w:wrap="around" w:vAnchor="text" w:hAnchor="text" w:x="-2562" w:y="1" w:anchorLock="1"/>
      <w:pBdr>
        <w:top w:val="single" w:sz="24" w:space="3" w:color="006548" w:themeColor="text2"/>
      </w:pBdr>
      <w:spacing w:line="340" w:lineRule="exact"/>
      <w:suppressOverlap/>
    </w:pPr>
    <w:rPr>
      <w:color w:val="006548" w:themeColor="text2"/>
      <w:sz w:val="28"/>
    </w:rPr>
  </w:style>
  <w:style w:type="character" w:customStyle="1" w:styleId="Heading2Char">
    <w:name w:val="Heading 2 Char"/>
    <w:aliases w:val="HoC_Heading 2 Char"/>
    <w:basedOn w:val="DefaultParagraphFont"/>
    <w:link w:val="Heading2"/>
    <w:uiPriority w:val="9"/>
    <w:rsid w:val="00D77B93"/>
    <w:rPr>
      <w:rFonts w:eastAsiaTheme="majorEastAsia" w:cstheme="majorBidi"/>
      <w:color w:val="006548" w:themeColor="text2"/>
      <w:sz w:val="40"/>
      <w:szCs w:val="26"/>
    </w:rPr>
  </w:style>
  <w:style w:type="character" w:customStyle="1" w:styleId="Heading3Char">
    <w:name w:val="Heading 3 Char"/>
    <w:aliases w:val="HoC_Heading 3 Char"/>
    <w:basedOn w:val="DefaultParagraphFont"/>
    <w:link w:val="Heading3"/>
    <w:rsid w:val="00D77B93"/>
    <w:rPr>
      <w:rFonts w:asciiTheme="majorHAnsi" w:eastAsiaTheme="majorEastAsia" w:hAnsiTheme="majorHAnsi" w:cstheme="majorBidi"/>
      <w:color w:val="006548" w:themeColor="text2"/>
      <w:sz w:val="32"/>
      <w:szCs w:val="24"/>
    </w:rPr>
  </w:style>
  <w:style w:type="character" w:styleId="Hyperlink">
    <w:name w:val="Hyperlink"/>
    <w:aliases w:val="HoC_Hyperlink"/>
    <w:basedOn w:val="DefaultParagraphFont"/>
    <w:uiPriority w:val="99"/>
    <w:rsid w:val="00244326"/>
    <w:rPr>
      <w:color w:val="006548" w:themeColor="text2"/>
      <w:u w:val="single"/>
    </w:rPr>
  </w:style>
  <w:style w:type="paragraph" w:customStyle="1" w:styleId="HoCBackPageText">
    <w:name w:val="HoC_Back Page Text"/>
    <w:basedOn w:val="HoCNormal"/>
    <w:uiPriority w:val="14"/>
    <w:qFormat/>
    <w:rsid w:val="007F27C5"/>
    <w:pPr>
      <w:spacing w:after="120"/>
    </w:pPr>
    <w:rPr>
      <w:color w:val="FFFFFF" w:themeColor="background1"/>
    </w:rPr>
  </w:style>
  <w:style w:type="paragraph" w:customStyle="1" w:styleId="HoCListNumberLevel2">
    <w:name w:val="HoC_List Number Level 2"/>
    <w:basedOn w:val="HoCNormal"/>
    <w:uiPriority w:val="1"/>
    <w:qFormat/>
    <w:rsid w:val="00D1499A"/>
    <w:pPr>
      <w:numPr>
        <w:ilvl w:val="1"/>
        <w:numId w:val="10"/>
      </w:numPr>
      <w:spacing w:after="240" w:line="230" w:lineRule="auto"/>
      <w:ind w:left="907" w:hanging="454"/>
    </w:pPr>
  </w:style>
  <w:style w:type="table" w:customStyle="1" w:styleId="HoCDefaultTable">
    <w:name w:val="HoC_Default Table"/>
    <w:basedOn w:val="TableNormal"/>
    <w:uiPriority w:val="99"/>
    <w:rsid w:val="00E76D35"/>
    <w:pPr>
      <w:spacing w:after="0" w:line="240" w:lineRule="auto"/>
    </w:pPr>
    <w:tblPr>
      <w:tblBorders>
        <w:insideH w:val="single" w:sz="4" w:space="0" w:color="6E6E6E" w:themeColor="accent1"/>
      </w:tblBorders>
      <w:tblCellMar>
        <w:top w:w="57" w:type="dxa"/>
        <w:bottom w:w="57" w:type="dxa"/>
      </w:tblCellMar>
    </w:tblPr>
    <w:tcPr>
      <w:shd w:val="clear" w:color="auto" w:fill="EDEBEA"/>
      <w:vAlign w:val="center"/>
    </w:tcPr>
    <w:tblStylePr w:type="firstRow">
      <w:tblPr/>
      <w:tcPr>
        <w:shd w:val="clear" w:color="auto" w:fill="006548" w:themeFill="text2"/>
      </w:tcPr>
    </w:tblStylePr>
  </w:style>
  <w:style w:type="paragraph" w:customStyle="1" w:styleId="HoCTableHeader">
    <w:name w:val="HoC_Table Header"/>
    <w:basedOn w:val="HoCNormal"/>
    <w:uiPriority w:val="1"/>
    <w:rsid w:val="00E76D35"/>
    <w:pPr>
      <w:pBdr>
        <w:top w:val="single" w:sz="18" w:space="1" w:color="006548" w:themeColor="text2"/>
        <w:bottom w:val="single" w:sz="18" w:space="1" w:color="006548" w:themeColor="text2"/>
      </w:pBdr>
      <w:shd w:val="clear" w:color="auto" w:fill="006548" w:themeFill="text2"/>
      <w:spacing w:line="360" w:lineRule="exact"/>
    </w:pPr>
    <w:rPr>
      <w:rFonts w:asciiTheme="majorHAnsi" w:hAnsiTheme="majorHAnsi"/>
      <w:color w:val="FFFFFF" w:themeColor="background1"/>
      <w:sz w:val="30"/>
    </w:rPr>
  </w:style>
  <w:style w:type="paragraph" w:customStyle="1" w:styleId="HoCTableBody">
    <w:name w:val="HoC_Table Body"/>
    <w:basedOn w:val="HoCNormal"/>
    <w:uiPriority w:val="11"/>
    <w:rsid w:val="00656D85"/>
    <w:pPr>
      <w:pBdr>
        <w:bottom w:val="single" w:sz="4" w:space="1" w:color="6E6E6E" w:themeColor="accent1"/>
      </w:pBdr>
      <w:shd w:val="solid" w:color="EDEBEA" w:fill="auto"/>
      <w:spacing w:after="0" w:line="264" w:lineRule="auto"/>
    </w:pPr>
    <w:rPr>
      <w14:numSpacing w14:val="tabular"/>
    </w:rPr>
  </w:style>
  <w:style w:type="paragraph" w:customStyle="1" w:styleId="HoCTableBodyIndented">
    <w:name w:val="HoC_Table Body Indented"/>
    <w:basedOn w:val="HoCTableBody"/>
    <w:uiPriority w:val="11"/>
    <w:rsid w:val="00656D85"/>
    <w:pPr>
      <w:ind w:left="567"/>
    </w:pPr>
  </w:style>
  <w:style w:type="paragraph" w:customStyle="1" w:styleId="HoCChartTitle">
    <w:name w:val="HoC_Chart Title"/>
    <w:basedOn w:val="HoCNormal"/>
    <w:next w:val="HoCChartSubtitle"/>
    <w:uiPriority w:val="6"/>
    <w:rsid w:val="00DB54BE"/>
    <w:pPr>
      <w:spacing w:line="300" w:lineRule="exact"/>
    </w:pPr>
    <w:rPr>
      <w:rFonts w:asciiTheme="majorHAnsi" w:hAnsiTheme="majorHAnsi"/>
      <w:color w:val="006548" w:themeColor="text2"/>
      <w:sz w:val="22"/>
    </w:rPr>
  </w:style>
  <w:style w:type="paragraph" w:customStyle="1" w:styleId="HoCChartSubtitle">
    <w:name w:val="HoC_Chart Subtitle"/>
    <w:basedOn w:val="HoCNormal"/>
    <w:uiPriority w:val="7"/>
    <w:rsid w:val="00DB54BE"/>
    <w:pPr>
      <w:spacing w:line="264" w:lineRule="auto"/>
    </w:pPr>
    <w:rPr>
      <w:color w:val="006548" w:themeColor="text2"/>
      <w:sz w:val="22"/>
    </w:rPr>
  </w:style>
  <w:style w:type="paragraph" w:customStyle="1" w:styleId="HoCSource">
    <w:name w:val="HoC_Source"/>
    <w:basedOn w:val="HoCNormal"/>
    <w:uiPriority w:val="8"/>
    <w:rsid w:val="00DB54BE"/>
    <w:pPr>
      <w:spacing w:before="40" w:line="240" w:lineRule="exact"/>
    </w:pPr>
    <w:rPr>
      <w:sz w:val="18"/>
    </w:rPr>
  </w:style>
  <w:style w:type="paragraph" w:styleId="FootnoteText">
    <w:name w:val="footnote text"/>
    <w:basedOn w:val="Normal"/>
    <w:link w:val="FootnoteTextChar"/>
    <w:uiPriority w:val="99"/>
    <w:semiHidden/>
    <w:unhideWhenUsed/>
    <w:rsid w:val="007D01E1"/>
    <w:pPr>
      <w:spacing w:after="0" w:line="240" w:lineRule="exact"/>
      <w:ind w:left="284" w:hanging="284"/>
    </w:pPr>
    <w:rPr>
      <w:sz w:val="18"/>
      <w:szCs w:val="20"/>
    </w:rPr>
  </w:style>
  <w:style w:type="character" w:customStyle="1" w:styleId="FootnoteTextChar">
    <w:name w:val="Footnote Text Char"/>
    <w:basedOn w:val="DefaultParagraphFont"/>
    <w:link w:val="FootnoteText"/>
    <w:uiPriority w:val="99"/>
    <w:semiHidden/>
    <w:rsid w:val="007D01E1"/>
    <w:rPr>
      <w:sz w:val="18"/>
      <w:szCs w:val="20"/>
    </w:rPr>
  </w:style>
  <w:style w:type="character" w:styleId="FootnoteReference">
    <w:name w:val="footnote reference"/>
    <w:basedOn w:val="DefaultParagraphFont"/>
    <w:uiPriority w:val="99"/>
    <w:semiHidden/>
    <w:unhideWhenUsed/>
    <w:rsid w:val="00E91960"/>
    <w:rPr>
      <w:vertAlign w:val="superscript"/>
    </w:rPr>
  </w:style>
  <w:style w:type="paragraph" w:styleId="TableofFigures">
    <w:name w:val="table of figures"/>
    <w:aliases w:val="HoC_Table of Figures"/>
    <w:basedOn w:val="Normal"/>
    <w:next w:val="Normal"/>
    <w:uiPriority w:val="14"/>
    <w:unhideWhenUsed/>
    <w:rsid w:val="00401471"/>
  </w:style>
  <w:style w:type="paragraph" w:styleId="BalloonText">
    <w:name w:val="Balloon Text"/>
    <w:basedOn w:val="Normal"/>
    <w:link w:val="BalloonTextChar"/>
    <w:uiPriority w:val="99"/>
    <w:semiHidden/>
    <w:unhideWhenUsed/>
    <w:rsid w:val="00BD4F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4F60"/>
    <w:rPr>
      <w:rFonts w:ascii="Segoe UI" w:hAnsi="Segoe UI" w:cs="Segoe UI"/>
      <w:sz w:val="18"/>
      <w:szCs w:val="18"/>
    </w:rPr>
  </w:style>
  <w:style w:type="paragraph" w:customStyle="1" w:styleId="HoCHeading2Numbered">
    <w:name w:val="HoC_Heading 2 Numbered"/>
    <w:basedOn w:val="Heading2"/>
    <w:next w:val="BodyText"/>
    <w:qFormat/>
    <w:rsid w:val="00486D20"/>
    <w:pPr>
      <w:numPr>
        <w:ilvl w:val="1"/>
        <w:numId w:val="7"/>
      </w:numPr>
    </w:pPr>
  </w:style>
  <w:style w:type="character" w:customStyle="1" w:styleId="Heading4Char">
    <w:name w:val="Heading 4 Char"/>
    <w:aliases w:val="HoC_Heading 4 Char"/>
    <w:basedOn w:val="DefaultParagraphFont"/>
    <w:link w:val="Heading4"/>
    <w:rsid w:val="00D77B93"/>
    <w:rPr>
      <w:rFonts w:asciiTheme="majorHAnsi" w:eastAsiaTheme="majorEastAsia" w:hAnsiTheme="majorHAnsi" w:cstheme="majorBidi"/>
      <w:iCs/>
      <w:color w:val="006548" w:themeColor="text2"/>
      <w:sz w:val="24"/>
    </w:rPr>
  </w:style>
  <w:style w:type="paragraph" w:customStyle="1" w:styleId="HoCBackPageHeadings">
    <w:name w:val="HoC_Back Page Headings"/>
    <w:basedOn w:val="HoCBackPageText"/>
    <w:uiPriority w:val="14"/>
    <w:qFormat/>
    <w:rsid w:val="00890789"/>
    <w:pPr>
      <w:keepNext/>
      <w:spacing w:after="0"/>
    </w:pPr>
    <w:rPr>
      <w:u w:val="single"/>
    </w:rPr>
  </w:style>
  <w:style w:type="paragraph" w:styleId="TOC3">
    <w:name w:val="toc 3"/>
    <w:aliases w:val="HoC_TOC 3"/>
    <w:basedOn w:val="Normal"/>
    <w:next w:val="Normal"/>
    <w:uiPriority w:val="39"/>
    <w:unhideWhenUsed/>
    <w:rsid w:val="0035514D"/>
    <w:pPr>
      <w:tabs>
        <w:tab w:val="left" w:pos="567"/>
        <w:tab w:val="right" w:pos="7519"/>
      </w:tabs>
      <w:spacing w:before="240" w:after="240" w:line="280" w:lineRule="exact"/>
      <w:ind w:left="567" w:hanging="567"/>
    </w:pPr>
    <w:rPr>
      <w:rFonts w:asciiTheme="majorHAnsi" w:hAnsiTheme="majorHAnsi"/>
    </w:rPr>
  </w:style>
  <w:style w:type="paragraph" w:customStyle="1" w:styleId="HoCDisclaimerHeading">
    <w:name w:val="HoC_Disclaimer Heading"/>
    <w:basedOn w:val="Normal"/>
    <w:uiPriority w:val="1"/>
    <w:qFormat/>
    <w:rsid w:val="005E75D6"/>
    <w:pPr>
      <w:keepNext/>
      <w:spacing w:after="0" w:line="300" w:lineRule="exact"/>
    </w:pPr>
    <w:rPr>
      <w:rFonts w:asciiTheme="majorHAnsi" w:hAnsiTheme="majorHAnsi"/>
      <w:color w:val="006548" w:themeColor="text2"/>
    </w:rPr>
  </w:style>
  <w:style w:type="paragraph" w:customStyle="1" w:styleId="HoCListBulletLevel2">
    <w:name w:val="HoC_List Bullet Level 2"/>
    <w:basedOn w:val="HoCListBulletLevel1"/>
    <w:uiPriority w:val="1"/>
    <w:qFormat/>
    <w:rsid w:val="00D1499A"/>
    <w:pPr>
      <w:numPr>
        <w:ilvl w:val="1"/>
      </w:numPr>
      <w:ind w:left="907" w:hanging="454"/>
    </w:pPr>
  </w:style>
  <w:style w:type="paragraph" w:customStyle="1" w:styleId="HoCLongquote">
    <w:name w:val="HoC_Long quote"/>
    <w:basedOn w:val="BodyText"/>
    <w:uiPriority w:val="3"/>
    <w:qFormat/>
    <w:rsid w:val="00CC3A27"/>
    <w:pPr>
      <w:ind w:left="851"/>
    </w:pPr>
    <w:rPr>
      <w:sz w:val="21"/>
    </w:rPr>
  </w:style>
  <w:style w:type="paragraph" w:styleId="Subtitle">
    <w:name w:val="Subtitle"/>
    <w:aliases w:val="HoC_Subtitle"/>
    <w:basedOn w:val="Normal"/>
    <w:next w:val="Normal"/>
    <w:link w:val="SubtitleChar"/>
    <w:uiPriority w:val="14"/>
    <w:rsid w:val="00F87259"/>
    <w:pPr>
      <w:numPr>
        <w:ilvl w:val="1"/>
      </w:numPr>
      <w:spacing w:line="264" w:lineRule="auto"/>
    </w:pPr>
    <w:rPr>
      <w:color w:val="5A5A5A" w:themeColor="text1" w:themeTint="A5"/>
      <w:spacing w:val="15"/>
      <w:sz w:val="22"/>
    </w:rPr>
  </w:style>
  <w:style w:type="character" w:customStyle="1" w:styleId="SubtitleChar">
    <w:name w:val="Subtitle Char"/>
    <w:aliases w:val="HoC_Subtitle Char"/>
    <w:basedOn w:val="DefaultParagraphFont"/>
    <w:link w:val="Subtitle"/>
    <w:uiPriority w:val="14"/>
    <w:rsid w:val="00D77B93"/>
    <w:rPr>
      <w:color w:val="5A5A5A" w:themeColor="text1" w:themeTint="A5"/>
      <w:spacing w:val="15"/>
    </w:rPr>
  </w:style>
  <w:style w:type="paragraph" w:customStyle="1" w:styleId="HoCDate">
    <w:name w:val="HoC_Date"/>
    <w:basedOn w:val="HoCAuthorandDate"/>
    <w:uiPriority w:val="14"/>
    <w:rsid w:val="008B45A5"/>
    <w:pPr>
      <w:framePr w:hSpace="0" w:wrap="auto" w:vAnchor="margin" w:hAnchor="text" w:xAlign="left" w:yAlign="inline"/>
      <w:spacing w:after="0"/>
      <w:suppressOverlap w:val="0"/>
    </w:pPr>
  </w:style>
  <w:style w:type="paragraph" w:customStyle="1" w:styleId="HoCListNumberLevel1">
    <w:name w:val="HoC_List Number Level 1"/>
    <w:basedOn w:val="HoCListBulletLevel1"/>
    <w:uiPriority w:val="1"/>
    <w:qFormat/>
    <w:rsid w:val="00334E35"/>
    <w:pPr>
      <w:numPr>
        <w:numId w:val="10"/>
      </w:numPr>
      <w:ind w:left="454" w:hanging="454"/>
    </w:pPr>
  </w:style>
  <w:style w:type="paragraph" w:customStyle="1" w:styleId="HoCInitialSummary">
    <w:name w:val="HoC_Initial Summary"/>
    <w:basedOn w:val="BodyText"/>
    <w:uiPriority w:val="1"/>
    <w:qFormat/>
    <w:rsid w:val="00134A8B"/>
    <w:rPr>
      <w:color w:val="006548" w:themeColor="text2"/>
    </w:rPr>
  </w:style>
  <w:style w:type="paragraph" w:customStyle="1" w:styleId="HoCQuotationBullets">
    <w:name w:val="HoC_Quotation Bullets"/>
    <w:basedOn w:val="HoCLongquote"/>
    <w:uiPriority w:val="1"/>
    <w:qFormat/>
    <w:rsid w:val="00855088"/>
    <w:pPr>
      <w:numPr>
        <w:numId w:val="33"/>
      </w:numPr>
      <w:ind w:left="1276" w:hanging="425"/>
    </w:pPr>
  </w:style>
  <w:style w:type="paragraph" w:customStyle="1" w:styleId="HoCQuotationNumbers">
    <w:name w:val="HoC_Quotation Numbers"/>
    <w:basedOn w:val="HoCQuotationBullets"/>
    <w:uiPriority w:val="1"/>
    <w:qFormat/>
    <w:rsid w:val="00855088"/>
    <w:pPr>
      <w:numPr>
        <w:numId w:val="35"/>
      </w:numPr>
      <w:ind w:left="1276" w:hanging="425"/>
    </w:pPr>
  </w:style>
  <w:style w:type="paragraph" w:customStyle="1" w:styleId="HoCBoxTitle">
    <w:name w:val="HoC_Box Title"/>
    <w:basedOn w:val="HoCNormal"/>
    <w:next w:val="HoCBoxText"/>
    <w:uiPriority w:val="1"/>
    <w:rsid w:val="005C1BD7"/>
    <w:pPr>
      <w:keepNext/>
      <w:keepLines/>
      <w:spacing w:after="300" w:line="400" w:lineRule="exact"/>
      <w:ind w:left="130"/>
    </w:pPr>
    <w:rPr>
      <w:rFonts w:asciiTheme="majorHAnsi" w:hAnsiTheme="majorHAnsi"/>
      <w:color w:val="006548" w:themeColor="text2"/>
      <w:sz w:val="32"/>
    </w:rPr>
  </w:style>
  <w:style w:type="paragraph" w:customStyle="1" w:styleId="HoCBoxText">
    <w:name w:val="HoC_Box Text"/>
    <w:basedOn w:val="HoCNormal"/>
    <w:uiPriority w:val="1"/>
    <w:qFormat/>
    <w:rsid w:val="005C1BD7"/>
    <w:pPr>
      <w:keepNext/>
      <w:keepLines/>
      <w:spacing w:after="132" w:line="300" w:lineRule="exact"/>
      <w:ind w:left="132"/>
    </w:pPr>
  </w:style>
  <w:style w:type="character" w:customStyle="1" w:styleId="HoCUnderline">
    <w:name w:val="HoC_Underline"/>
    <w:basedOn w:val="DefaultParagraphFont"/>
    <w:uiPriority w:val="14"/>
    <w:qFormat/>
    <w:rsid w:val="00E62FB1"/>
    <w:rPr>
      <w:u w:val="single"/>
    </w:rPr>
  </w:style>
  <w:style w:type="character" w:customStyle="1" w:styleId="HoCBold">
    <w:name w:val="HoC_Bold"/>
    <w:basedOn w:val="DefaultParagraphFont"/>
    <w:uiPriority w:val="14"/>
    <w:qFormat/>
    <w:rsid w:val="00E62FB1"/>
    <w:rPr>
      <w:rFonts w:asciiTheme="majorHAnsi" w:hAnsiTheme="majorHAnsi"/>
    </w:rPr>
  </w:style>
  <w:style w:type="character" w:customStyle="1" w:styleId="HoCItalic">
    <w:name w:val="HoC_Italic"/>
    <w:basedOn w:val="DefaultParagraphFont"/>
    <w:uiPriority w:val="14"/>
    <w:qFormat/>
    <w:rsid w:val="006A4524"/>
    <w:rPr>
      <w:rFonts w:asciiTheme="minorHAnsi" w:hAnsiTheme="minorHAnsi"/>
      <w:i/>
      <w:lang w:val="en-GB"/>
    </w:rPr>
  </w:style>
  <w:style w:type="character" w:customStyle="1" w:styleId="HoCBoldItalicUnderline">
    <w:name w:val="HoC_Bold Italic Underline"/>
    <w:basedOn w:val="DefaultParagraphFont"/>
    <w:uiPriority w:val="14"/>
    <w:qFormat/>
    <w:rsid w:val="006A4524"/>
    <w:rPr>
      <w:rFonts w:asciiTheme="majorHAnsi" w:hAnsiTheme="majorHAnsi"/>
      <w:i/>
      <w:u w:val="single"/>
      <w:lang w:val="en-GB"/>
    </w:rPr>
  </w:style>
  <w:style w:type="character" w:customStyle="1" w:styleId="HoCBoldUnderline">
    <w:name w:val="HoC_Bold Underline"/>
    <w:basedOn w:val="DefaultParagraphFont"/>
    <w:uiPriority w:val="14"/>
    <w:qFormat/>
    <w:rsid w:val="00E62FB1"/>
    <w:rPr>
      <w:rFonts w:asciiTheme="majorHAnsi" w:hAnsiTheme="majorHAnsi"/>
      <w:u w:val="single"/>
      <w:lang w:val="en-GB"/>
    </w:rPr>
  </w:style>
  <w:style w:type="character" w:customStyle="1" w:styleId="HoCBoldItalic">
    <w:name w:val="HoC_Bold Italic"/>
    <w:basedOn w:val="DefaultParagraphFont"/>
    <w:uiPriority w:val="14"/>
    <w:qFormat/>
    <w:rsid w:val="006A4524"/>
    <w:rPr>
      <w:rFonts w:asciiTheme="majorHAnsi" w:hAnsiTheme="majorHAnsi"/>
      <w:i/>
      <w:lang w:val="en-GB"/>
    </w:rPr>
  </w:style>
  <w:style w:type="character" w:customStyle="1" w:styleId="HoCItalicUnderline">
    <w:name w:val="HoC_Italic Underline"/>
    <w:basedOn w:val="DefaultParagraphFont"/>
    <w:uiPriority w:val="14"/>
    <w:qFormat/>
    <w:rsid w:val="006A4524"/>
    <w:rPr>
      <w:rFonts w:asciiTheme="minorHAnsi" w:hAnsiTheme="minorHAnsi"/>
      <w:i/>
      <w:u w:val="single"/>
      <w:lang w:val="en-GB"/>
    </w:rPr>
  </w:style>
  <w:style w:type="paragraph" w:customStyle="1" w:styleId="HoCTableColumnHeader">
    <w:name w:val="HoC_Table Column Header"/>
    <w:basedOn w:val="HoCNormal"/>
    <w:uiPriority w:val="1"/>
    <w:rsid w:val="00F1127E"/>
    <w:pPr>
      <w:pBdr>
        <w:bottom w:val="single" w:sz="4" w:space="1" w:color="006548" w:themeColor="text2"/>
      </w:pBdr>
      <w:shd w:val="solid" w:color="EDEBEA" w:themeColor="background2" w:fill="auto"/>
      <w:spacing w:after="0" w:line="280" w:lineRule="exact"/>
    </w:pPr>
    <w:rPr>
      <w:sz w:val="22"/>
    </w:rPr>
  </w:style>
  <w:style w:type="paragraph" w:customStyle="1" w:styleId="HoCTableRowHeader">
    <w:name w:val="HoC_Table Row Header"/>
    <w:uiPriority w:val="10"/>
    <w:qFormat/>
    <w:rsid w:val="00656D85"/>
    <w:pPr>
      <w:pBdr>
        <w:bottom w:val="single" w:sz="4" w:space="1" w:color="6E6E6E" w:themeColor="accent1"/>
      </w:pBdr>
      <w:shd w:val="solid" w:color="EDEBEA" w:fill="auto"/>
      <w:spacing w:after="0" w:line="264" w:lineRule="auto"/>
    </w:pPr>
    <w:rPr>
      <w:rFonts w:asciiTheme="majorHAnsi" w:hAnsiTheme="majorHAnsi"/>
      <w:sz w:val="24"/>
    </w:rPr>
  </w:style>
  <w:style w:type="paragraph" w:customStyle="1" w:styleId="HoCTableSource">
    <w:name w:val="HoC_Table Source"/>
    <w:uiPriority w:val="13"/>
    <w:qFormat/>
    <w:rsid w:val="00656D85"/>
    <w:pPr>
      <w:spacing w:line="240" w:lineRule="exact"/>
    </w:pPr>
    <w:rPr>
      <w:sz w:val="18"/>
    </w:rPr>
  </w:style>
  <w:style w:type="paragraph" w:customStyle="1" w:styleId="HoCTableTitle">
    <w:name w:val="HoC_Table Title"/>
    <w:uiPriority w:val="9"/>
    <w:rsid w:val="00656D85"/>
    <w:pPr>
      <w:shd w:val="solid" w:color="006548" w:themeColor="text2" w:fill="auto"/>
      <w:spacing w:after="0" w:line="360" w:lineRule="exact"/>
    </w:pPr>
    <w:rPr>
      <w:rFonts w:asciiTheme="majorHAnsi" w:hAnsiTheme="majorHAnsi"/>
      <w:color w:val="FFFFFF" w:themeColor="background1"/>
      <w:sz w:val="30"/>
    </w:rPr>
  </w:style>
  <w:style w:type="paragraph" w:customStyle="1" w:styleId="HoCSpace">
    <w:name w:val="HoC_Space"/>
    <w:uiPriority w:val="14"/>
    <w:rsid w:val="00D450D6"/>
    <w:pPr>
      <w:spacing w:after="100" w:afterAutospacing="1" w:line="14" w:lineRule="exact"/>
    </w:pPr>
    <w:rPr>
      <w:color w:val="006548" w:themeColor="text2"/>
      <w:sz w:val="2"/>
    </w:rPr>
  </w:style>
  <w:style w:type="paragraph" w:customStyle="1" w:styleId="HoCTableBullet">
    <w:name w:val="HoC_Table Bullet"/>
    <w:basedOn w:val="HoCNormal"/>
    <w:uiPriority w:val="12"/>
    <w:qFormat/>
    <w:rsid w:val="00656D85"/>
    <w:pPr>
      <w:numPr>
        <w:numId w:val="21"/>
      </w:numPr>
      <w:pBdr>
        <w:bottom w:val="single" w:sz="4" w:space="1" w:color="6E6E6E" w:themeColor="accent1"/>
      </w:pBdr>
      <w:shd w:val="solid" w:color="EDEBEA" w:fill="auto"/>
      <w:spacing w:after="0" w:line="264" w:lineRule="auto"/>
    </w:pPr>
    <w:rPr>
      <w14:numSpacing w14:val="tabular"/>
    </w:rPr>
  </w:style>
  <w:style w:type="paragraph" w:customStyle="1" w:styleId="HoCHeading1NumberedNoPageBreak">
    <w:name w:val="HoC_Heading 1 Numbered (No Page Break)"/>
    <w:basedOn w:val="HoCHeading1Numbered"/>
    <w:next w:val="BodyText"/>
    <w:qFormat/>
    <w:rsid w:val="007F7D80"/>
    <w:pPr>
      <w:pageBreakBefore w:val="0"/>
    </w:pPr>
  </w:style>
  <w:style w:type="character" w:customStyle="1" w:styleId="Heading5Char">
    <w:name w:val="Heading 5 Char"/>
    <w:aliases w:val="HoC_Heading 2 (No TOC) Char"/>
    <w:basedOn w:val="DefaultParagraphFont"/>
    <w:link w:val="Heading5"/>
    <w:rsid w:val="00D77B93"/>
    <w:rPr>
      <w:rFonts w:eastAsiaTheme="majorEastAsia" w:cstheme="majorBidi"/>
      <w:color w:val="006548" w:themeColor="text2"/>
      <w:sz w:val="40"/>
    </w:rPr>
  </w:style>
  <w:style w:type="character" w:customStyle="1" w:styleId="Heading6Char">
    <w:name w:val="Heading 6 Char"/>
    <w:aliases w:val="HoC_Heading 3 (No TOC) Char"/>
    <w:basedOn w:val="DefaultParagraphFont"/>
    <w:link w:val="Heading6"/>
    <w:rsid w:val="00D77B93"/>
    <w:rPr>
      <w:rFonts w:asciiTheme="majorHAnsi" w:eastAsiaTheme="majorEastAsia" w:hAnsiTheme="majorHAnsi" w:cstheme="majorBidi"/>
      <w:iCs/>
      <w:color w:val="006548" w:themeColor="text2"/>
      <w:sz w:val="32"/>
    </w:rPr>
  </w:style>
  <w:style w:type="paragraph" w:styleId="TOC4">
    <w:name w:val="toc 4"/>
    <w:aliases w:val="HoC_TOC 4"/>
    <w:basedOn w:val="Normal"/>
    <w:next w:val="Normal"/>
    <w:uiPriority w:val="39"/>
    <w:unhideWhenUsed/>
    <w:rsid w:val="004F6E0A"/>
    <w:pPr>
      <w:tabs>
        <w:tab w:val="right" w:pos="7519"/>
      </w:tabs>
      <w:spacing w:after="120" w:line="264" w:lineRule="auto"/>
    </w:pPr>
  </w:style>
  <w:style w:type="paragraph" w:customStyle="1" w:styleId="HoCBodyTextIndent">
    <w:name w:val="HoC_Body Text Indent"/>
    <w:basedOn w:val="BodyText"/>
    <w:uiPriority w:val="1"/>
    <w:qFormat/>
    <w:rsid w:val="00E44FF9"/>
    <w:pPr>
      <w:ind w:left="851"/>
    </w:pPr>
  </w:style>
  <w:style w:type="paragraph" w:customStyle="1" w:styleId="HoCHeading1NoPageBreak">
    <w:name w:val="HoC_Heading 1 (No Page Break)"/>
    <w:basedOn w:val="Heading1"/>
    <w:next w:val="BodyText"/>
    <w:qFormat/>
    <w:rsid w:val="007F7D80"/>
    <w:pPr>
      <w:pageBreakBefore w:val="0"/>
    </w:pPr>
  </w:style>
  <w:style w:type="paragraph" w:customStyle="1" w:styleId="HoCQuotationBulletsLevel2">
    <w:name w:val="HoC_Quotation Bullets Level 2"/>
    <w:basedOn w:val="HoCQuotationBullets"/>
    <w:uiPriority w:val="1"/>
    <w:qFormat/>
    <w:rsid w:val="00630B57"/>
    <w:pPr>
      <w:numPr>
        <w:ilvl w:val="1"/>
      </w:numPr>
      <w:ind w:left="1701" w:hanging="425"/>
    </w:pPr>
  </w:style>
  <w:style w:type="paragraph" w:customStyle="1" w:styleId="HoCQuotationNumbersLevel2">
    <w:name w:val="HoC_Quotation Numbers Level 2"/>
    <w:basedOn w:val="HoCQuotationNumbers"/>
    <w:uiPriority w:val="1"/>
    <w:qFormat/>
    <w:rsid w:val="00630B57"/>
    <w:pPr>
      <w:numPr>
        <w:ilvl w:val="1"/>
      </w:numPr>
      <w:ind w:left="1701" w:hanging="425"/>
    </w:pPr>
  </w:style>
  <w:style w:type="paragraph" w:customStyle="1" w:styleId="HoCBoxNumberedLevel1">
    <w:name w:val="HoC_Box Numbered Level 1"/>
    <w:basedOn w:val="HoCNormal"/>
    <w:uiPriority w:val="1"/>
    <w:qFormat/>
    <w:rsid w:val="00D1499A"/>
    <w:pPr>
      <w:numPr>
        <w:numId w:val="16"/>
      </w:numPr>
      <w:spacing w:line="230" w:lineRule="auto"/>
    </w:pPr>
  </w:style>
  <w:style w:type="paragraph" w:customStyle="1" w:styleId="HoCBoxNumberedLevel2">
    <w:name w:val="HoC_Box Numbered Level 2"/>
    <w:basedOn w:val="HoCBoxNumberedLevel1"/>
    <w:uiPriority w:val="1"/>
    <w:qFormat/>
    <w:rsid w:val="00D1499A"/>
    <w:pPr>
      <w:numPr>
        <w:ilvl w:val="1"/>
      </w:numPr>
      <w:ind w:left="1037"/>
    </w:pPr>
  </w:style>
  <w:style w:type="paragraph" w:customStyle="1" w:styleId="HoCInitialSummaryBullets">
    <w:name w:val="HoC_Initial Summary Bullets"/>
    <w:basedOn w:val="HoCNormal"/>
    <w:uiPriority w:val="1"/>
    <w:qFormat/>
    <w:rsid w:val="000E5F6A"/>
    <w:pPr>
      <w:numPr>
        <w:numId w:val="20"/>
      </w:numPr>
      <w:spacing w:after="120"/>
      <w:ind w:left="454" w:hanging="454"/>
      <w:contextualSpacing/>
    </w:pPr>
    <w:rPr>
      <w:color w:val="006548" w:themeColor="text2"/>
    </w:rPr>
  </w:style>
  <w:style w:type="paragraph" w:customStyle="1" w:styleId="HoCInitialSummaryHeading">
    <w:name w:val="HoC_Initial Summary Heading"/>
    <w:basedOn w:val="HoCNormal"/>
    <w:uiPriority w:val="1"/>
    <w:qFormat/>
    <w:rsid w:val="000E5F6A"/>
    <w:pPr>
      <w:spacing w:before="480" w:after="0"/>
    </w:pPr>
    <w:rPr>
      <w:rFonts w:asciiTheme="majorHAnsi" w:hAnsiTheme="majorHAnsi"/>
      <w:color w:val="006548" w:themeColor="text2"/>
    </w:rPr>
  </w:style>
  <w:style w:type="paragraph" w:customStyle="1" w:styleId="DocDetailsTextHoC">
    <w:name w:val="Doc Details Text_HoC"/>
    <w:basedOn w:val="Normal"/>
    <w:uiPriority w:val="2"/>
    <w:qFormat/>
    <w:rsid w:val="00E647F5"/>
    <w:pPr>
      <w:framePr w:hSpace="181" w:wrap="around" w:vAnchor="page" w:hAnchor="page" w:x="625" w:y="3137"/>
      <w:spacing w:line="290" w:lineRule="exact"/>
      <w:suppressOverlap/>
    </w:pPr>
    <w:rPr>
      <w:color w:val="006548" w:themeColor="text2"/>
    </w:rPr>
  </w:style>
  <w:style w:type="paragraph" w:customStyle="1" w:styleId="HoCDisclaimerText">
    <w:name w:val="HoC_Disclaimer Text"/>
    <w:basedOn w:val="HoCDisclaimerHeading"/>
    <w:uiPriority w:val="1"/>
    <w:qFormat/>
    <w:rsid w:val="00E647F5"/>
    <w:pPr>
      <w:keepNext w:val="0"/>
      <w:framePr w:hSpace="181" w:vSpace="1134" w:wrap="around" w:vAnchor="page" w:hAnchor="page" w:x="1362" w:y="2269"/>
      <w:suppressOverlap/>
    </w:pPr>
    <w:rPr>
      <w:rFonts w:asciiTheme="minorHAnsi" w:hAnsiTheme="minorHAnsi"/>
    </w:rPr>
  </w:style>
  <w:style w:type="paragraph" w:customStyle="1" w:styleId="DocDetailsHeadingsHoC">
    <w:name w:val="Doc Details Headings_HoC"/>
    <w:basedOn w:val="DocDetailsTextHoC"/>
    <w:uiPriority w:val="2"/>
    <w:qFormat/>
    <w:rsid w:val="00E647F5"/>
    <w:pPr>
      <w:framePr w:vSpace="1134" w:wrap="around" w:x="1362" w:y="2269"/>
      <w:spacing w:after="0"/>
    </w:pPr>
    <w:rPr>
      <w:rFonts w:asciiTheme="majorHAnsi" w:hAnsiTheme="majorHAnsi"/>
    </w:rPr>
  </w:style>
  <w:style w:type="paragraph" w:customStyle="1" w:styleId="HoCBoxBulletLevel1">
    <w:name w:val="HoC_Box Bullet Level 1"/>
    <w:basedOn w:val="HoCListBulletLevel1"/>
    <w:uiPriority w:val="14"/>
    <w:qFormat/>
    <w:rsid w:val="00D1499A"/>
    <w:pPr>
      <w:spacing w:after="160"/>
      <w:ind w:left="584"/>
    </w:pPr>
  </w:style>
  <w:style w:type="paragraph" w:customStyle="1" w:styleId="HoCBoxBulletLevel2">
    <w:name w:val="HoC_Box Bullet Level 2"/>
    <w:basedOn w:val="HoCListBulletLevel2"/>
    <w:uiPriority w:val="14"/>
    <w:qFormat/>
    <w:rsid w:val="00D1499A"/>
    <w:pPr>
      <w:spacing w:after="160"/>
      <w:ind w:left="1037"/>
    </w:pPr>
  </w:style>
  <w:style w:type="paragraph" w:customStyle="1" w:styleId="HoCHeading0NoTOC">
    <w:name w:val="HoC_Heading 0 (No TOC)"/>
    <w:basedOn w:val="HoCHeading0"/>
    <w:uiPriority w:val="14"/>
    <w:qFormat/>
    <w:rsid w:val="008B3258"/>
    <w:pPr>
      <w:spacing w:before="0" w:after="1200"/>
    </w:pPr>
  </w:style>
  <w:style w:type="paragraph" w:styleId="Bibliography">
    <w:name w:val="Bibliography"/>
    <w:basedOn w:val="Normal"/>
    <w:next w:val="Normal"/>
    <w:uiPriority w:val="56"/>
    <w:semiHidden/>
    <w:unhideWhenUsed/>
    <w:rsid w:val="001222D2"/>
  </w:style>
  <w:style w:type="paragraph" w:styleId="BlockText">
    <w:name w:val="Block Text"/>
    <w:basedOn w:val="Normal"/>
    <w:uiPriority w:val="99"/>
    <w:semiHidden/>
    <w:unhideWhenUsed/>
    <w:rsid w:val="001222D2"/>
    <w:pPr>
      <w:pBdr>
        <w:top w:val="single" w:sz="2" w:space="10" w:color="6E6E6E" w:themeColor="accent1"/>
        <w:left w:val="single" w:sz="2" w:space="10" w:color="6E6E6E" w:themeColor="accent1"/>
        <w:bottom w:val="single" w:sz="2" w:space="10" w:color="6E6E6E" w:themeColor="accent1"/>
        <w:right w:val="single" w:sz="2" w:space="10" w:color="6E6E6E" w:themeColor="accent1"/>
      </w:pBdr>
      <w:ind w:left="1152" w:right="1152"/>
    </w:pPr>
    <w:rPr>
      <w:i/>
      <w:iCs/>
      <w:color w:val="6E6E6E" w:themeColor="accent1"/>
    </w:rPr>
  </w:style>
  <w:style w:type="paragraph" w:styleId="BodyText2">
    <w:name w:val="Body Text 2"/>
    <w:basedOn w:val="Normal"/>
    <w:link w:val="BodyText2Char"/>
    <w:uiPriority w:val="99"/>
    <w:semiHidden/>
    <w:unhideWhenUsed/>
    <w:rsid w:val="001222D2"/>
    <w:pPr>
      <w:spacing w:after="120" w:line="480" w:lineRule="auto"/>
    </w:pPr>
  </w:style>
  <w:style w:type="character" w:customStyle="1" w:styleId="BodyText2Char">
    <w:name w:val="Body Text 2 Char"/>
    <w:basedOn w:val="DefaultParagraphFont"/>
    <w:link w:val="BodyText2"/>
    <w:uiPriority w:val="99"/>
    <w:semiHidden/>
    <w:rsid w:val="001222D2"/>
    <w:rPr>
      <w:sz w:val="24"/>
    </w:rPr>
  </w:style>
  <w:style w:type="paragraph" w:styleId="BodyText3">
    <w:name w:val="Body Text 3"/>
    <w:basedOn w:val="Normal"/>
    <w:link w:val="BodyText3Char"/>
    <w:uiPriority w:val="99"/>
    <w:semiHidden/>
    <w:unhideWhenUsed/>
    <w:rsid w:val="001222D2"/>
    <w:pPr>
      <w:spacing w:after="120"/>
    </w:pPr>
    <w:rPr>
      <w:sz w:val="16"/>
      <w:szCs w:val="16"/>
    </w:rPr>
  </w:style>
  <w:style w:type="character" w:customStyle="1" w:styleId="BodyText3Char">
    <w:name w:val="Body Text 3 Char"/>
    <w:basedOn w:val="DefaultParagraphFont"/>
    <w:link w:val="BodyText3"/>
    <w:uiPriority w:val="99"/>
    <w:semiHidden/>
    <w:rsid w:val="001222D2"/>
    <w:rPr>
      <w:sz w:val="16"/>
      <w:szCs w:val="16"/>
    </w:rPr>
  </w:style>
  <w:style w:type="paragraph" w:styleId="BodyTextFirstIndent">
    <w:name w:val="Body Text First Indent"/>
    <w:basedOn w:val="BodyText"/>
    <w:link w:val="BodyTextFirstIndentChar"/>
    <w:uiPriority w:val="99"/>
    <w:semiHidden/>
    <w:unhideWhenUsed/>
    <w:rsid w:val="001222D2"/>
    <w:pPr>
      <w:spacing w:after="160" w:line="240" w:lineRule="auto"/>
      <w:ind w:firstLine="360"/>
    </w:pPr>
  </w:style>
  <w:style w:type="character" w:customStyle="1" w:styleId="BodyTextFirstIndentChar">
    <w:name w:val="Body Text First Indent Char"/>
    <w:basedOn w:val="BodyTextChar"/>
    <w:link w:val="BodyTextFirstIndent"/>
    <w:uiPriority w:val="99"/>
    <w:semiHidden/>
    <w:rsid w:val="001222D2"/>
    <w:rPr>
      <w:sz w:val="24"/>
    </w:rPr>
  </w:style>
  <w:style w:type="paragraph" w:styleId="BodyTextIndent">
    <w:name w:val="Body Text Indent"/>
    <w:basedOn w:val="Normal"/>
    <w:link w:val="BodyTextIndentChar"/>
    <w:uiPriority w:val="99"/>
    <w:semiHidden/>
    <w:unhideWhenUsed/>
    <w:rsid w:val="001222D2"/>
    <w:pPr>
      <w:spacing w:after="120"/>
      <w:ind w:left="283"/>
    </w:pPr>
  </w:style>
  <w:style w:type="character" w:customStyle="1" w:styleId="BodyTextIndentChar">
    <w:name w:val="Body Text Indent Char"/>
    <w:basedOn w:val="DefaultParagraphFont"/>
    <w:link w:val="BodyTextIndent"/>
    <w:uiPriority w:val="99"/>
    <w:semiHidden/>
    <w:rsid w:val="001222D2"/>
    <w:rPr>
      <w:sz w:val="24"/>
    </w:rPr>
  </w:style>
  <w:style w:type="paragraph" w:styleId="BodyTextFirstIndent2">
    <w:name w:val="Body Text First Indent 2"/>
    <w:basedOn w:val="BodyTextIndent"/>
    <w:link w:val="BodyTextFirstIndent2Char"/>
    <w:uiPriority w:val="99"/>
    <w:semiHidden/>
    <w:unhideWhenUsed/>
    <w:rsid w:val="001222D2"/>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1222D2"/>
    <w:rPr>
      <w:sz w:val="24"/>
    </w:rPr>
  </w:style>
  <w:style w:type="paragraph" w:styleId="BodyTextIndent2">
    <w:name w:val="Body Text Indent 2"/>
    <w:basedOn w:val="Normal"/>
    <w:link w:val="BodyTextIndent2Char"/>
    <w:uiPriority w:val="99"/>
    <w:semiHidden/>
    <w:unhideWhenUsed/>
    <w:rsid w:val="001222D2"/>
    <w:pPr>
      <w:spacing w:after="120" w:line="480" w:lineRule="auto"/>
      <w:ind w:left="283"/>
    </w:pPr>
  </w:style>
  <w:style w:type="character" w:customStyle="1" w:styleId="BodyTextIndent2Char">
    <w:name w:val="Body Text Indent 2 Char"/>
    <w:basedOn w:val="DefaultParagraphFont"/>
    <w:link w:val="BodyTextIndent2"/>
    <w:uiPriority w:val="99"/>
    <w:semiHidden/>
    <w:rsid w:val="001222D2"/>
    <w:rPr>
      <w:sz w:val="24"/>
    </w:rPr>
  </w:style>
  <w:style w:type="paragraph" w:styleId="BodyTextIndent3">
    <w:name w:val="Body Text Indent 3"/>
    <w:basedOn w:val="Normal"/>
    <w:link w:val="BodyTextIndent3Char"/>
    <w:uiPriority w:val="99"/>
    <w:semiHidden/>
    <w:unhideWhenUsed/>
    <w:rsid w:val="001222D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222D2"/>
    <w:rPr>
      <w:sz w:val="16"/>
      <w:szCs w:val="16"/>
    </w:rPr>
  </w:style>
  <w:style w:type="character" w:styleId="BookTitle">
    <w:name w:val="Book Title"/>
    <w:basedOn w:val="DefaultParagraphFont"/>
    <w:uiPriority w:val="52"/>
    <w:qFormat/>
    <w:rsid w:val="001222D2"/>
    <w:rPr>
      <w:b/>
      <w:bCs/>
      <w:smallCaps/>
      <w:spacing w:val="5"/>
    </w:rPr>
  </w:style>
  <w:style w:type="paragraph" w:styleId="Caption">
    <w:name w:val="caption"/>
    <w:basedOn w:val="Normal"/>
    <w:next w:val="Normal"/>
    <w:uiPriority w:val="54"/>
    <w:semiHidden/>
    <w:unhideWhenUsed/>
    <w:qFormat/>
    <w:rsid w:val="001222D2"/>
    <w:pPr>
      <w:spacing w:after="200"/>
    </w:pPr>
    <w:rPr>
      <w:b/>
      <w:bCs/>
      <w:color w:val="6E6E6E" w:themeColor="accent1"/>
      <w:sz w:val="18"/>
      <w:szCs w:val="18"/>
    </w:rPr>
  </w:style>
  <w:style w:type="paragraph" w:styleId="Closing">
    <w:name w:val="Closing"/>
    <w:basedOn w:val="Normal"/>
    <w:link w:val="ClosingChar"/>
    <w:uiPriority w:val="99"/>
    <w:semiHidden/>
    <w:unhideWhenUsed/>
    <w:rsid w:val="001222D2"/>
    <w:pPr>
      <w:spacing w:after="0"/>
      <w:ind w:left="4252"/>
    </w:pPr>
  </w:style>
  <w:style w:type="character" w:customStyle="1" w:styleId="ClosingChar">
    <w:name w:val="Closing Char"/>
    <w:basedOn w:val="DefaultParagraphFont"/>
    <w:link w:val="Closing"/>
    <w:uiPriority w:val="99"/>
    <w:semiHidden/>
    <w:rsid w:val="001222D2"/>
    <w:rPr>
      <w:sz w:val="24"/>
    </w:rPr>
  </w:style>
  <w:style w:type="table" w:styleId="ColorfulGrid">
    <w:name w:val="Colorful Grid"/>
    <w:basedOn w:val="TableNormal"/>
    <w:uiPriority w:val="73"/>
    <w:rsid w:val="001222D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1222D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2E2" w:themeFill="accent1" w:themeFillTint="33"/>
    </w:tcPr>
    <w:tblStylePr w:type="firstRow">
      <w:rPr>
        <w:b/>
        <w:bCs/>
      </w:rPr>
      <w:tblPr/>
      <w:tcPr>
        <w:shd w:val="clear" w:color="auto" w:fill="C5C5C5" w:themeFill="accent1" w:themeFillTint="66"/>
      </w:tcPr>
    </w:tblStylePr>
    <w:tblStylePr w:type="lastRow">
      <w:rPr>
        <w:b/>
        <w:bCs/>
        <w:color w:val="000000" w:themeColor="text1"/>
      </w:rPr>
      <w:tblPr/>
      <w:tcPr>
        <w:shd w:val="clear" w:color="auto" w:fill="C5C5C5" w:themeFill="accent1" w:themeFillTint="66"/>
      </w:tcPr>
    </w:tblStylePr>
    <w:tblStylePr w:type="firstCol">
      <w:rPr>
        <w:color w:val="FFFFFF" w:themeColor="background1"/>
      </w:rPr>
      <w:tblPr/>
      <w:tcPr>
        <w:shd w:val="clear" w:color="auto" w:fill="525252" w:themeFill="accent1" w:themeFillShade="BF"/>
      </w:tcPr>
    </w:tblStylePr>
    <w:tblStylePr w:type="lastCol">
      <w:rPr>
        <w:color w:val="FFFFFF" w:themeColor="background1"/>
      </w:rPr>
      <w:tblPr/>
      <w:tcPr>
        <w:shd w:val="clear" w:color="auto" w:fill="525252" w:themeFill="accent1" w:themeFillShade="BF"/>
      </w:tcPr>
    </w:tblStylePr>
    <w:tblStylePr w:type="band1Vert">
      <w:tblPr/>
      <w:tcPr>
        <w:shd w:val="clear" w:color="auto" w:fill="B6B6B6" w:themeFill="accent1" w:themeFillTint="7F"/>
      </w:tcPr>
    </w:tblStylePr>
    <w:tblStylePr w:type="band1Horz">
      <w:tblPr/>
      <w:tcPr>
        <w:shd w:val="clear" w:color="auto" w:fill="B6B6B6" w:themeFill="accent1" w:themeFillTint="7F"/>
      </w:tcPr>
    </w:tblStylePr>
  </w:style>
  <w:style w:type="table" w:styleId="ColorfulGrid-Accent2">
    <w:name w:val="Colorful Grid Accent 2"/>
    <w:basedOn w:val="TableNormal"/>
    <w:uiPriority w:val="73"/>
    <w:rsid w:val="001222D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5EEE9" w:themeFill="accent2" w:themeFillTint="33"/>
    </w:tcPr>
    <w:tblStylePr w:type="firstRow">
      <w:rPr>
        <w:b/>
        <w:bCs/>
      </w:rPr>
      <w:tblPr/>
      <w:tcPr>
        <w:shd w:val="clear" w:color="auto" w:fill="ACDDD3" w:themeFill="accent2" w:themeFillTint="66"/>
      </w:tcPr>
    </w:tblStylePr>
    <w:tblStylePr w:type="lastRow">
      <w:rPr>
        <w:b/>
        <w:bCs/>
        <w:color w:val="000000" w:themeColor="text1"/>
      </w:rPr>
      <w:tblPr/>
      <w:tcPr>
        <w:shd w:val="clear" w:color="auto" w:fill="ACDDD3" w:themeFill="accent2" w:themeFillTint="66"/>
      </w:tcPr>
    </w:tblStylePr>
    <w:tblStylePr w:type="firstCol">
      <w:rPr>
        <w:color w:val="FFFFFF" w:themeColor="background1"/>
      </w:rPr>
      <w:tblPr/>
      <w:tcPr>
        <w:shd w:val="clear" w:color="auto" w:fill="2F7567" w:themeFill="accent2" w:themeFillShade="BF"/>
      </w:tcPr>
    </w:tblStylePr>
    <w:tblStylePr w:type="lastCol">
      <w:rPr>
        <w:color w:val="FFFFFF" w:themeColor="background1"/>
      </w:rPr>
      <w:tblPr/>
      <w:tcPr>
        <w:shd w:val="clear" w:color="auto" w:fill="2F7567" w:themeFill="accent2" w:themeFillShade="BF"/>
      </w:tcPr>
    </w:tblStylePr>
    <w:tblStylePr w:type="band1Vert">
      <w:tblPr/>
      <w:tcPr>
        <w:shd w:val="clear" w:color="auto" w:fill="97D5C9" w:themeFill="accent2" w:themeFillTint="7F"/>
      </w:tcPr>
    </w:tblStylePr>
    <w:tblStylePr w:type="band1Horz">
      <w:tblPr/>
      <w:tcPr>
        <w:shd w:val="clear" w:color="auto" w:fill="97D5C9" w:themeFill="accent2" w:themeFillTint="7F"/>
      </w:tcPr>
    </w:tblStylePr>
  </w:style>
  <w:style w:type="table" w:styleId="ColorfulGrid-Accent3">
    <w:name w:val="Colorful Grid Accent 3"/>
    <w:basedOn w:val="TableNormal"/>
    <w:uiPriority w:val="73"/>
    <w:rsid w:val="001222D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0F6" w:themeFill="accent3" w:themeFillTint="33"/>
    </w:tcPr>
    <w:tblStylePr w:type="firstRow">
      <w:rPr>
        <w:b/>
        <w:bCs/>
      </w:rPr>
      <w:tblPr/>
      <w:tcPr>
        <w:shd w:val="clear" w:color="auto" w:fill="E182ED" w:themeFill="accent3" w:themeFillTint="66"/>
      </w:tcPr>
    </w:tblStylePr>
    <w:tblStylePr w:type="lastRow">
      <w:rPr>
        <w:b/>
        <w:bCs/>
        <w:color w:val="000000" w:themeColor="text1"/>
      </w:rPr>
      <w:tblPr/>
      <w:tcPr>
        <w:shd w:val="clear" w:color="auto" w:fill="E182ED" w:themeFill="accent3" w:themeFillTint="66"/>
      </w:tcPr>
    </w:tblStylePr>
    <w:tblStylePr w:type="firstCol">
      <w:rPr>
        <w:color w:val="FFFFFF" w:themeColor="background1"/>
      </w:rPr>
      <w:tblPr/>
      <w:tcPr>
        <w:shd w:val="clear" w:color="auto" w:fill="5C0E66" w:themeFill="accent3" w:themeFillShade="BF"/>
      </w:tcPr>
    </w:tblStylePr>
    <w:tblStylePr w:type="lastCol">
      <w:rPr>
        <w:color w:val="FFFFFF" w:themeColor="background1"/>
      </w:rPr>
      <w:tblPr/>
      <w:tcPr>
        <w:shd w:val="clear" w:color="auto" w:fill="5C0E66" w:themeFill="accent3" w:themeFillShade="BF"/>
      </w:tcPr>
    </w:tblStylePr>
    <w:tblStylePr w:type="band1Vert">
      <w:tblPr/>
      <w:tcPr>
        <w:shd w:val="clear" w:color="auto" w:fill="DA64E9" w:themeFill="accent3" w:themeFillTint="7F"/>
      </w:tcPr>
    </w:tblStylePr>
    <w:tblStylePr w:type="band1Horz">
      <w:tblPr/>
      <w:tcPr>
        <w:shd w:val="clear" w:color="auto" w:fill="DA64E9" w:themeFill="accent3" w:themeFillTint="7F"/>
      </w:tcPr>
    </w:tblStylePr>
  </w:style>
  <w:style w:type="table" w:styleId="ColorfulGrid-Accent4">
    <w:name w:val="Colorful Grid Accent 4"/>
    <w:basedOn w:val="TableNormal"/>
    <w:uiPriority w:val="73"/>
    <w:rsid w:val="001222D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E5F4" w:themeFill="accent4" w:themeFillTint="33"/>
    </w:tcPr>
    <w:tblStylePr w:type="firstRow">
      <w:rPr>
        <w:b/>
        <w:bCs/>
      </w:rPr>
      <w:tblPr/>
      <w:tcPr>
        <w:shd w:val="clear" w:color="auto" w:fill="DACBE9" w:themeFill="accent4" w:themeFillTint="66"/>
      </w:tcPr>
    </w:tblStylePr>
    <w:tblStylePr w:type="lastRow">
      <w:rPr>
        <w:b/>
        <w:bCs/>
        <w:color w:val="000000" w:themeColor="text1"/>
      </w:rPr>
      <w:tblPr/>
      <w:tcPr>
        <w:shd w:val="clear" w:color="auto" w:fill="DACBE9" w:themeFill="accent4" w:themeFillTint="66"/>
      </w:tcPr>
    </w:tblStylePr>
    <w:tblStylePr w:type="firstCol">
      <w:rPr>
        <w:color w:val="FFFFFF" w:themeColor="background1"/>
      </w:rPr>
      <w:tblPr/>
      <w:tcPr>
        <w:shd w:val="clear" w:color="auto" w:fill="7949AB" w:themeFill="accent4" w:themeFillShade="BF"/>
      </w:tcPr>
    </w:tblStylePr>
    <w:tblStylePr w:type="lastCol">
      <w:rPr>
        <w:color w:val="FFFFFF" w:themeColor="background1"/>
      </w:rPr>
      <w:tblPr/>
      <w:tcPr>
        <w:shd w:val="clear" w:color="auto" w:fill="7949AB" w:themeFill="accent4" w:themeFillShade="BF"/>
      </w:tcPr>
    </w:tblStylePr>
    <w:tblStylePr w:type="band1Vert">
      <w:tblPr/>
      <w:tcPr>
        <w:shd w:val="clear" w:color="auto" w:fill="D1BEE3" w:themeFill="accent4" w:themeFillTint="7F"/>
      </w:tcPr>
    </w:tblStylePr>
    <w:tblStylePr w:type="band1Horz">
      <w:tblPr/>
      <w:tcPr>
        <w:shd w:val="clear" w:color="auto" w:fill="D1BEE3" w:themeFill="accent4" w:themeFillTint="7F"/>
      </w:tcPr>
    </w:tblStylePr>
  </w:style>
  <w:style w:type="table" w:styleId="ColorfulGrid-Accent5">
    <w:name w:val="Colorful Grid Accent 5"/>
    <w:basedOn w:val="TableNormal"/>
    <w:uiPriority w:val="73"/>
    <w:rsid w:val="001222D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EC5" w:themeFill="accent5" w:themeFillTint="33"/>
    </w:tcPr>
    <w:tblStylePr w:type="firstRow">
      <w:rPr>
        <w:b/>
        <w:bCs/>
      </w:rPr>
      <w:tblPr/>
      <w:tcPr>
        <w:shd w:val="clear" w:color="auto" w:fill="FFDD8C" w:themeFill="accent5" w:themeFillTint="66"/>
      </w:tcPr>
    </w:tblStylePr>
    <w:tblStylePr w:type="lastRow">
      <w:rPr>
        <w:b/>
        <w:bCs/>
        <w:color w:val="000000" w:themeColor="text1"/>
      </w:rPr>
      <w:tblPr/>
      <w:tcPr>
        <w:shd w:val="clear" w:color="auto" w:fill="FFDD8C" w:themeFill="accent5" w:themeFillTint="66"/>
      </w:tcPr>
    </w:tblStylePr>
    <w:tblStylePr w:type="firstCol">
      <w:rPr>
        <w:color w:val="FFFFFF" w:themeColor="background1"/>
      </w:rPr>
      <w:tblPr/>
      <w:tcPr>
        <w:shd w:val="clear" w:color="auto" w:fill="A77700" w:themeFill="accent5" w:themeFillShade="BF"/>
      </w:tcPr>
    </w:tblStylePr>
    <w:tblStylePr w:type="lastCol">
      <w:rPr>
        <w:color w:val="FFFFFF" w:themeColor="background1"/>
      </w:rPr>
      <w:tblPr/>
      <w:tcPr>
        <w:shd w:val="clear" w:color="auto" w:fill="A77700" w:themeFill="accent5" w:themeFillShade="BF"/>
      </w:tcPr>
    </w:tblStylePr>
    <w:tblStylePr w:type="band1Vert">
      <w:tblPr/>
      <w:tcPr>
        <w:shd w:val="clear" w:color="auto" w:fill="FFD570" w:themeFill="accent5" w:themeFillTint="7F"/>
      </w:tcPr>
    </w:tblStylePr>
    <w:tblStylePr w:type="band1Horz">
      <w:tblPr/>
      <w:tcPr>
        <w:shd w:val="clear" w:color="auto" w:fill="FFD570" w:themeFill="accent5" w:themeFillTint="7F"/>
      </w:tcPr>
    </w:tblStylePr>
  </w:style>
  <w:style w:type="table" w:styleId="ColorfulGrid-Accent6">
    <w:name w:val="Colorful Grid Accent 6"/>
    <w:basedOn w:val="TableNormal"/>
    <w:uiPriority w:val="73"/>
    <w:rsid w:val="001222D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5FFE2" w:themeFill="accent6" w:themeFillTint="33"/>
    </w:tcPr>
    <w:tblStylePr w:type="firstRow">
      <w:rPr>
        <w:b/>
        <w:bCs/>
      </w:rPr>
      <w:tblPr/>
      <w:tcPr>
        <w:shd w:val="clear" w:color="auto" w:fill="4CFFC6" w:themeFill="accent6" w:themeFillTint="66"/>
      </w:tcPr>
    </w:tblStylePr>
    <w:tblStylePr w:type="lastRow">
      <w:rPr>
        <w:b/>
        <w:bCs/>
        <w:color w:val="000000" w:themeColor="text1"/>
      </w:rPr>
      <w:tblPr/>
      <w:tcPr>
        <w:shd w:val="clear" w:color="auto" w:fill="4CFFC6" w:themeFill="accent6" w:themeFillTint="66"/>
      </w:tcPr>
    </w:tblStylePr>
    <w:tblStylePr w:type="firstCol">
      <w:rPr>
        <w:color w:val="FFFFFF" w:themeColor="background1"/>
      </w:rPr>
      <w:tblPr/>
      <w:tcPr>
        <w:shd w:val="clear" w:color="auto" w:fill="002F20" w:themeFill="accent6" w:themeFillShade="BF"/>
      </w:tcPr>
    </w:tblStylePr>
    <w:tblStylePr w:type="lastCol">
      <w:rPr>
        <w:color w:val="FFFFFF" w:themeColor="background1"/>
      </w:rPr>
      <w:tblPr/>
      <w:tcPr>
        <w:shd w:val="clear" w:color="auto" w:fill="002F20" w:themeFill="accent6" w:themeFillShade="BF"/>
      </w:tcPr>
    </w:tblStylePr>
    <w:tblStylePr w:type="band1Vert">
      <w:tblPr/>
      <w:tcPr>
        <w:shd w:val="clear" w:color="auto" w:fill="20FFB8" w:themeFill="accent6" w:themeFillTint="7F"/>
      </w:tcPr>
    </w:tblStylePr>
    <w:tblStylePr w:type="band1Horz">
      <w:tblPr/>
      <w:tcPr>
        <w:shd w:val="clear" w:color="auto" w:fill="20FFB8" w:themeFill="accent6" w:themeFillTint="7F"/>
      </w:tcPr>
    </w:tblStylePr>
  </w:style>
  <w:style w:type="table" w:styleId="ColorfulList">
    <w:name w:val="Colorful List"/>
    <w:basedOn w:val="TableNormal"/>
    <w:uiPriority w:val="72"/>
    <w:rsid w:val="001222D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27D6E" w:themeFill="accent2" w:themeFillShade="CC"/>
      </w:tcPr>
    </w:tblStylePr>
    <w:tblStylePr w:type="lastRow">
      <w:rPr>
        <w:b/>
        <w:bCs/>
        <w:color w:val="327D6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1222D2"/>
    <w:pPr>
      <w:spacing w:after="0" w:line="240" w:lineRule="auto"/>
    </w:pPr>
    <w:rPr>
      <w:color w:val="000000" w:themeColor="text1"/>
    </w:rPr>
    <w:tblPr>
      <w:tblStyleRowBandSize w:val="1"/>
      <w:tblStyleColBandSize w:val="1"/>
    </w:tblPr>
    <w:tcPr>
      <w:shd w:val="clear" w:color="auto" w:fill="F0F0F0" w:themeFill="accent1" w:themeFillTint="19"/>
    </w:tcPr>
    <w:tblStylePr w:type="firstRow">
      <w:rPr>
        <w:b/>
        <w:bCs/>
        <w:color w:val="FFFFFF" w:themeColor="background1"/>
      </w:rPr>
      <w:tblPr/>
      <w:tcPr>
        <w:tcBorders>
          <w:bottom w:val="single" w:sz="12" w:space="0" w:color="FFFFFF" w:themeColor="background1"/>
        </w:tcBorders>
        <w:shd w:val="clear" w:color="auto" w:fill="327D6E" w:themeFill="accent2" w:themeFillShade="CC"/>
      </w:tcPr>
    </w:tblStylePr>
    <w:tblStylePr w:type="lastRow">
      <w:rPr>
        <w:b/>
        <w:bCs/>
        <w:color w:val="327D6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BDB" w:themeFill="accent1" w:themeFillTint="3F"/>
      </w:tcPr>
    </w:tblStylePr>
    <w:tblStylePr w:type="band1Horz">
      <w:tblPr/>
      <w:tcPr>
        <w:shd w:val="clear" w:color="auto" w:fill="E2E2E2" w:themeFill="accent1" w:themeFillTint="33"/>
      </w:tcPr>
    </w:tblStylePr>
  </w:style>
  <w:style w:type="table" w:styleId="ColorfulList-Accent2">
    <w:name w:val="Colorful List Accent 2"/>
    <w:basedOn w:val="TableNormal"/>
    <w:uiPriority w:val="72"/>
    <w:rsid w:val="001222D2"/>
    <w:pPr>
      <w:spacing w:after="0" w:line="240" w:lineRule="auto"/>
    </w:pPr>
    <w:rPr>
      <w:color w:val="000000" w:themeColor="text1"/>
    </w:rPr>
    <w:tblPr>
      <w:tblStyleRowBandSize w:val="1"/>
      <w:tblStyleColBandSize w:val="1"/>
    </w:tblPr>
    <w:tcPr>
      <w:shd w:val="clear" w:color="auto" w:fill="EAF6F4" w:themeFill="accent2" w:themeFillTint="19"/>
    </w:tcPr>
    <w:tblStylePr w:type="firstRow">
      <w:rPr>
        <w:b/>
        <w:bCs/>
        <w:color w:val="FFFFFF" w:themeColor="background1"/>
      </w:rPr>
      <w:tblPr/>
      <w:tcPr>
        <w:tcBorders>
          <w:bottom w:val="single" w:sz="12" w:space="0" w:color="FFFFFF" w:themeColor="background1"/>
        </w:tcBorders>
        <w:shd w:val="clear" w:color="auto" w:fill="327D6E" w:themeFill="accent2" w:themeFillShade="CC"/>
      </w:tcPr>
    </w:tblStylePr>
    <w:tblStylePr w:type="lastRow">
      <w:rPr>
        <w:b/>
        <w:bCs/>
        <w:color w:val="327D6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AE4" w:themeFill="accent2" w:themeFillTint="3F"/>
      </w:tcPr>
    </w:tblStylePr>
    <w:tblStylePr w:type="band1Horz">
      <w:tblPr/>
      <w:tcPr>
        <w:shd w:val="clear" w:color="auto" w:fill="D5EEE9" w:themeFill="accent2" w:themeFillTint="33"/>
      </w:tcPr>
    </w:tblStylePr>
  </w:style>
  <w:style w:type="table" w:styleId="ColorfulList-Accent3">
    <w:name w:val="Colorful List Accent 3"/>
    <w:basedOn w:val="TableNormal"/>
    <w:uiPriority w:val="72"/>
    <w:rsid w:val="001222D2"/>
    <w:pPr>
      <w:spacing w:after="0" w:line="240" w:lineRule="auto"/>
    </w:pPr>
    <w:rPr>
      <w:color w:val="000000" w:themeColor="text1"/>
    </w:rPr>
    <w:tblPr>
      <w:tblStyleRowBandSize w:val="1"/>
      <w:tblStyleColBandSize w:val="1"/>
    </w:tblPr>
    <w:tcPr>
      <w:shd w:val="clear" w:color="auto" w:fill="F7E0FA" w:themeFill="accent3" w:themeFillTint="19"/>
    </w:tcPr>
    <w:tblStylePr w:type="firstRow">
      <w:rPr>
        <w:b/>
        <w:bCs/>
        <w:color w:val="FFFFFF" w:themeColor="background1"/>
      </w:rPr>
      <w:tblPr/>
      <w:tcPr>
        <w:tcBorders>
          <w:bottom w:val="single" w:sz="12" w:space="0" w:color="FFFFFF" w:themeColor="background1"/>
        </w:tcBorders>
        <w:shd w:val="clear" w:color="auto" w:fill="8250B4" w:themeFill="accent4" w:themeFillShade="CC"/>
      </w:tcPr>
    </w:tblStylePr>
    <w:tblStylePr w:type="lastRow">
      <w:rPr>
        <w:b/>
        <w:bCs/>
        <w:color w:val="8250B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B2F4" w:themeFill="accent3" w:themeFillTint="3F"/>
      </w:tcPr>
    </w:tblStylePr>
    <w:tblStylePr w:type="band1Horz">
      <w:tblPr/>
      <w:tcPr>
        <w:shd w:val="clear" w:color="auto" w:fill="F0C0F6" w:themeFill="accent3" w:themeFillTint="33"/>
      </w:tcPr>
    </w:tblStylePr>
  </w:style>
  <w:style w:type="table" w:styleId="ColorfulList-Accent4">
    <w:name w:val="Colorful List Accent 4"/>
    <w:basedOn w:val="TableNormal"/>
    <w:uiPriority w:val="72"/>
    <w:rsid w:val="001222D2"/>
    <w:pPr>
      <w:spacing w:after="0" w:line="240" w:lineRule="auto"/>
    </w:pPr>
    <w:rPr>
      <w:color w:val="000000" w:themeColor="text1"/>
    </w:rPr>
    <w:tblPr>
      <w:tblStyleRowBandSize w:val="1"/>
      <w:tblStyleColBandSize w:val="1"/>
    </w:tblPr>
    <w:tcPr>
      <w:shd w:val="clear" w:color="auto" w:fill="F5F2F9" w:themeFill="accent4" w:themeFillTint="19"/>
    </w:tcPr>
    <w:tblStylePr w:type="firstRow">
      <w:rPr>
        <w:b/>
        <w:bCs/>
        <w:color w:val="FFFFFF" w:themeColor="background1"/>
      </w:rPr>
      <w:tblPr/>
      <w:tcPr>
        <w:tcBorders>
          <w:bottom w:val="single" w:sz="12" w:space="0" w:color="FFFFFF" w:themeColor="background1"/>
        </w:tcBorders>
        <w:shd w:val="clear" w:color="auto" w:fill="620F6D" w:themeFill="accent3" w:themeFillShade="CC"/>
      </w:tcPr>
    </w:tblStylePr>
    <w:tblStylePr w:type="lastRow">
      <w:rPr>
        <w:b/>
        <w:bCs/>
        <w:color w:val="620F6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DEF1" w:themeFill="accent4" w:themeFillTint="3F"/>
      </w:tcPr>
    </w:tblStylePr>
    <w:tblStylePr w:type="band1Horz">
      <w:tblPr/>
      <w:tcPr>
        <w:shd w:val="clear" w:color="auto" w:fill="ECE5F4" w:themeFill="accent4" w:themeFillTint="33"/>
      </w:tcPr>
    </w:tblStylePr>
  </w:style>
  <w:style w:type="table" w:styleId="ColorfulList-Accent5">
    <w:name w:val="Colorful List Accent 5"/>
    <w:basedOn w:val="TableNormal"/>
    <w:uiPriority w:val="72"/>
    <w:rsid w:val="001222D2"/>
    <w:pPr>
      <w:spacing w:after="0" w:line="240" w:lineRule="auto"/>
    </w:pPr>
    <w:rPr>
      <w:color w:val="000000" w:themeColor="text1"/>
    </w:rPr>
    <w:tblPr>
      <w:tblStyleRowBandSize w:val="1"/>
      <w:tblStyleColBandSize w:val="1"/>
    </w:tblPr>
    <w:tcPr>
      <w:shd w:val="clear" w:color="auto" w:fill="FFF6E2" w:themeFill="accent5" w:themeFillTint="19"/>
    </w:tcPr>
    <w:tblStylePr w:type="firstRow">
      <w:rPr>
        <w:b/>
        <w:bCs/>
        <w:color w:val="FFFFFF" w:themeColor="background1"/>
      </w:rPr>
      <w:tblPr/>
      <w:tcPr>
        <w:tcBorders>
          <w:bottom w:val="single" w:sz="12" w:space="0" w:color="FFFFFF" w:themeColor="background1"/>
        </w:tcBorders>
        <w:shd w:val="clear" w:color="auto" w:fill="003222" w:themeFill="accent6" w:themeFillShade="CC"/>
      </w:tcPr>
    </w:tblStylePr>
    <w:tblStylePr w:type="lastRow">
      <w:rPr>
        <w:b/>
        <w:bCs/>
        <w:color w:val="00322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AB8" w:themeFill="accent5" w:themeFillTint="3F"/>
      </w:tcPr>
    </w:tblStylePr>
    <w:tblStylePr w:type="band1Horz">
      <w:tblPr/>
      <w:tcPr>
        <w:shd w:val="clear" w:color="auto" w:fill="FFEEC5" w:themeFill="accent5" w:themeFillTint="33"/>
      </w:tcPr>
    </w:tblStylePr>
  </w:style>
  <w:style w:type="table" w:styleId="ColorfulList-Accent6">
    <w:name w:val="Colorful List Accent 6"/>
    <w:basedOn w:val="TableNormal"/>
    <w:uiPriority w:val="72"/>
    <w:rsid w:val="001222D2"/>
    <w:pPr>
      <w:spacing w:after="0" w:line="240" w:lineRule="auto"/>
    </w:pPr>
    <w:rPr>
      <w:color w:val="000000" w:themeColor="text1"/>
    </w:rPr>
    <w:tblPr>
      <w:tblStyleRowBandSize w:val="1"/>
      <w:tblStyleColBandSize w:val="1"/>
    </w:tblPr>
    <w:tcPr>
      <w:shd w:val="clear" w:color="auto" w:fill="D3FFF1" w:themeFill="accent6" w:themeFillTint="19"/>
    </w:tcPr>
    <w:tblStylePr w:type="firstRow">
      <w:rPr>
        <w:b/>
        <w:bCs/>
        <w:color w:val="FFFFFF" w:themeColor="background1"/>
      </w:rPr>
      <w:tblPr/>
      <w:tcPr>
        <w:tcBorders>
          <w:bottom w:val="single" w:sz="12" w:space="0" w:color="FFFFFF" w:themeColor="background1"/>
        </w:tcBorders>
        <w:shd w:val="clear" w:color="auto" w:fill="B37F00" w:themeFill="accent5" w:themeFillShade="CC"/>
      </w:tcPr>
    </w:tblStylePr>
    <w:tblStylePr w:type="lastRow">
      <w:rPr>
        <w:b/>
        <w:bCs/>
        <w:color w:val="B37F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FFDB" w:themeFill="accent6" w:themeFillTint="3F"/>
      </w:tcPr>
    </w:tblStylePr>
    <w:tblStylePr w:type="band1Horz">
      <w:tblPr/>
      <w:tcPr>
        <w:shd w:val="clear" w:color="auto" w:fill="A5FFE2" w:themeFill="accent6" w:themeFillTint="33"/>
      </w:tcPr>
    </w:tblStylePr>
  </w:style>
  <w:style w:type="table" w:styleId="ColorfulShading">
    <w:name w:val="Colorful Shading"/>
    <w:basedOn w:val="TableNormal"/>
    <w:uiPriority w:val="71"/>
    <w:rsid w:val="001222D2"/>
    <w:pPr>
      <w:spacing w:after="0" w:line="240" w:lineRule="auto"/>
    </w:pPr>
    <w:rPr>
      <w:color w:val="000000" w:themeColor="text1"/>
    </w:rPr>
    <w:tblPr>
      <w:tblStyleRowBandSize w:val="1"/>
      <w:tblStyleColBandSize w:val="1"/>
      <w:tblBorders>
        <w:top w:val="single" w:sz="24" w:space="0" w:color="3F9D8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F9D8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1222D2"/>
    <w:pPr>
      <w:spacing w:after="0" w:line="240" w:lineRule="auto"/>
    </w:pPr>
    <w:rPr>
      <w:color w:val="000000" w:themeColor="text1"/>
    </w:rPr>
    <w:tblPr>
      <w:tblStyleRowBandSize w:val="1"/>
      <w:tblStyleColBandSize w:val="1"/>
      <w:tblBorders>
        <w:top w:val="single" w:sz="24" w:space="0" w:color="3F9D8A" w:themeColor="accent2"/>
        <w:left w:val="single" w:sz="4" w:space="0" w:color="6E6E6E" w:themeColor="accent1"/>
        <w:bottom w:val="single" w:sz="4" w:space="0" w:color="6E6E6E" w:themeColor="accent1"/>
        <w:right w:val="single" w:sz="4" w:space="0" w:color="6E6E6E" w:themeColor="accent1"/>
        <w:insideH w:val="single" w:sz="4" w:space="0" w:color="FFFFFF" w:themeColor="background1"/>
        <w:insideV w:val="single" w:sz="4" w:space="0" w:color="FFFFFF" w:themeColor="background1"/>
      </w:tblBorders>
    </w:tblPr>
    <w:tcPr>
      <w:shd w:val="clear" w:color="auto" w:fill="F0F0F0" w:themeFill="accent1" w:themeFillTint="19"/>
    </w:tcPr>
    <w:tblStylePr w:type="firstRow">
      <w:rPr>
        <w:b/>
        <w:bCs/>
      </w:rPr>
      <w:tblPr/>
      <w:tcPr>
        <w:tcBorders>
          <w:top w:val="nil"/>
          <w:left w:val="nil"/>
          <w:bottom w:val="single" w:sz="24" w:space="0" w:color="3F9D8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242" w:themeFill="accent1" w:themeFillShade="99"/>
      </w:tcPr>
    </w:tblStylePr>
    <w:tblStylePr w:type="firstCol">
      <w:rPr>
        <w:color w:val="FFFFFF" w:themeColor="background1"/>
      </w:rPr>
      <w:tblPr/>
      <w:tcPr>
        <w:tcBorders>
          <w:top w:val="nil"/>
          <w:left w:val="nil"/>
          <w:bottom w:val="nil"/>
          <w:right w:val="nil"/>
          <w:insideH w:val="single" w:sz="4" w:space="0" w:color="424242" w:themeColor="accent1" w:themeShade="99"/>
          <w:insideV w:val="nil"/>
        </w:tcBorders>
        <w:shd w:val="clear" w:color="auto" w:fill="42424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24242" w:themeFill="accent1" w:themeFillShade="99"/>
      </w:tcPr>
    </w:tblStylePr>
    <w:tblStylePr w:type="band1Vert">
      <w:tblPr/>
      <w:tcPr>
        <w:shd w:val="clear" w:color="auto" w:fill="C5C5C5" w:themeFill="accent1" w:themeFillTint="66"/>
      </w:tcPr>
    </w:tblStylePr>
    <w:tblStylePr w:type="band1Horz">
      <w:tblPr/>
      <w:tcPr>
        <w:shd w:val="clear" w:color="auto" w:fill="B6B6B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1222D2"/>
    <w:pPr>
      <w:spacing w:after="0" w:line="240" w:lineRule="auto"/>
    </w:pPr>
    <w:rPr>
      <w:color w:val="000000" w:themeColor="text1"/>
    </w:rPr>
    <w:tblPr>
      <w:tblStyleRowBandSize w:val="1"/>
      <w:tblStyleColBandSize w:val="1"/>
      <w:tblBorders>
        <w:top w:val="single" w:sz="24" w:space="0" w:color="3F9D8A" w:themeColor="accent2"/>
        <w:left w:val="single" w:sz="4" w:space="0" w:color="3F9D8A" w:themeColor="accent2"/>
        <w:bottom w:val="single" w:sz="4" w:space="0" w:color="3F9D8A" w:themeColor="accent2"/>
        <w:right w:val="single" w:sz="4" w:space="0" w:color="3F9D8A" w:themeColor="accent2"/>
        <w:insideH w:val="single" w:sz="4" w:space="0" w:color="FFFFFF" w:themeColor="background1"/>
        <w:insideV w:val="single" w:sz="4" w:space="0" w:color="FFFFFF" w:themeColor="background1"/>
      </w:tblBorders>
    </w:tblPr>
    <w:tcPr>
      <w:shd w:val="clear" w:color="auto" w:fill="EAF6F4" w:themeFill="accent2" w:themeFillTint="19"/>
    </w:tcPr>
    <w:tblStylePr w:type="firstRow">
      <w:rPr>
        <w:b/>
        <w:bCs/>
      </w:rPr>
      <w:tblPr/>
      <w:tcPr>
        <w:tcBorders>
          <w:top w:val="nil"/>
          <w:left w:val="nil"/>
          <w:bottom w:val="single" w:sz="24" w:space="0" w:color="3F9D8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E52" w:themeFill="accent2" w:themeFillShade="99"/>
      </w:tcPr>
    </w:tblStylePr>
    <w:tblStylePr w:type="firstCol">
      <w:rPr>
        <w:color w:val="FFFFFF" w:themeColor="background1"/>
      </w:rPr>
      <w:tblPr/>
      <w:tcPr>
        <w:tcBorders>
          <w:top w:val="nil"/>
          <w:left w:val="nil"/>
          <w:bottom w:val="nil"/>
          <w:right w:val="nil"/>
          <w:insideH w:val="single" w:sz="4" w:space="0" w:color="255E52" w:themeColor="accent2" w:themeShade="99"/>
          <w:insideV w:val="nil"/>
        </w:tcBorders>
        <w:shd w:val="clear" w:color="auto" w:fill="255E5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55E52" w:themeFill="accent2" w:themeFillShade="99"/>
      </w:tcPr>
    </w:tblStylePr>
    <w:tblStylePr w:type="band1Vert">
      <w:tblPr/>
      <w:tcPr>
        <w:shd w:val="clear" w:color="auto" w:fill="ACDDD3" w:themeFill="accent2" w:themeFillTint="66"/>
      </w:tcPr>
    </w:tblStylePr>
    <w:tblStylePr w:type="band1Horz">
      <w:tblPr/>
      <w:tcPr>
        <w:shd w:val="clear" w:color="auto" w:fill="97D5C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1222D2"/>
    <w:pPr>
      <w:spacing w:after="0" w:line="240" w:lineRule="auto"/>
    </w:pPr>
    <w:rPr>
      <w:color w:val="000000" w:themeColor="text1"/>
    </w:rPr>
    <w:tblPr>
      <w:tblStyleRowBandSize w:val="1"/>
      <w:tblStyleColBandSize w:val="1"/>
      <w:tblBorders>
        <w:top w:val="single" w:sz="24" w:space="0" w:color="A37EC8" w:themeColor="accent4"/>
        <w:left w:val="single" w:sz="4" w:space="0" w:color="7C1389" w:themeColor="accent3"/>
        <w:bottom w:val="single" w:sz="4" w:space="0" w:color="7C1389" w:themeColor="accent3"/>
        <w:right w:val="single" w:sz="4" w:space="0" w:color="7C1389" w:themeColor="accent3"/>
        <w:insideH w:val="single" w:sz="4" w:space="0" w:color="FFFFFF" w:themeColor="background1"/>
        <w:insideV w:val="single" w:sz="4" w:space="0" w:color="FFFFFF" w:themeColor="background1"/>
      </w:tblBorders>
    </w:tblPr>
    <w:tcPr>
      <w:shd w:val="clear" w:color="auto" w:fill="F7E0FA" w:themeFill="accent3" w:themeFillTint="19"/>
    </w:tcPr>
    <w:tblStylePr w:type="firstRow">
      <w:rPr>
        <w:b/>
        <w:bCs/>
      </w:rPr>
      <w:tblPr/>
      <w:tcPr>
        <w:tcBorders>
          <w:top w:val="nil"/>
          <w:left w:val="nil"/>
          <w:bottom w:val="single" w:sz="24" w:space="0" w:color="A37EC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0B51" w:themeFill="accent3" w:themeFillShade="99"/>
      </w:tcPr>
    </w:tblStylePr>
    <w:tblStylePr w:type="firstCol">
      <w:rPr>
        <w:color w:val="FFFFFF" w:themeColor="background1"/>
      </w:rPr>
      <w:tblPr/>
      <w:tcPr>
        <w:tcBorders>
          <w:top w:val="nil"/>
          <w:left w:val="nil"/>
          <w:bottom w:val="nil"/>
          <w:right w:val="nil"/>
          <w:insideH w:val="single" w:sz="4" w:space="0" w:color="490B51" w:themeColor="accent3" w:themeShade="99"/>
          <w:insideV w:val="nil"/>
        </w:tcBorders>
        <w:shd w:val="clear" w:color="auto" w:fill="490B5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90B51" w:themeFill="accent3" w:themeFillShade="99"/>
      </w:tcPr>
    </w:tblStylePr>
    <w:tblStylePr w:type="band1Vert">
      <w:tblPr/>
      <w:tcPr>
        <w:shd w:val="clear" w:color="auto" w:fill="E182ED" w:themeFill="accent3" w:themeFillTint="66"/>
      </w:tcPr>
    </w:tblStylePr>
    <w:tblStylePr w:type="band1Horz">
      <w:tblPr/>
      <w:tcPr>
        <w:shd w:val="clear" w:color="auto" w:fill="DA64E9" w:themeFill="accent3" w:themeFillTint="7F"/>
      </w:tcPr>
    </w:tblStylePr>
  </w:style>
  <w:style w:type="table" w:styleId="ColorfulShading-Accent4">
    <w:name w:val="Colorful Shading Accent 4"/>
    <w:basedOn w:val="TableNormal"/>
    <w:uiPriority w:val="71"/>
    <w:rsid w:val="001222D2"/>
    <w:pPr>
      <w:spacing w:after="0" w:line="240" w:lineRule="auto"/>
    </w:pPr>
    <w:rPr>
      <w:color w:val="000000" w:themeColor="text1"/>
    </w:rPr>
    <w:tblPr>
      <w:tblStyleRowBandSize w:val="1"/>
      <w:tblStyleColBandSize w:val="1"/>
      <w:tblBorders>
        <w:top w:val="single" w:sz="24" w:space="0" w:color="7C1389" w:themeColor="accent3"/>
        <w:left w:val="single" w:sz="4" w:space="0" w:color="A37EC8" w:themeColor="accent4"/>
        <w:bottom w:val="single" w:sz="4" w:space="0" w:color="A37EC8" w:themeColor="accent4"/>
        <w:right w:val="single" w:sz="4" w:space="0" w:color="A37EC8" w:themeColor="accent4"/>
        <w:insideH w:val="single" w:sz="4" w:space="0" w:color="FFFFFF" w:themeColor="background1"/>
        <w:insideV w:val="single" w:sz="4" w:space="0" w:color="FFFFFF" w:themeColor="background1"/>
      </w:tblBorders>
    </w:tblPr>
    <w:tcPr>
      <w:shd w:val="clear" w:color="auto" w:fill="F5F2F9" w:themeFill="accent4" w:themeFillTint="19"/>
    </w:tcPr>
    <w:tblStylePr w:type="firstRow">
      <w:rPr>
        <w:b/>
        <w:bCs/>
      </w:rPr>
      <w:tblPr/>
      <w:tcPr>
        <w:tcBorders>
          <w:top w:val="nil"/>
          <w:left w:val="nil"/>
          <w:bottom w:val="single" w:sz="24" w:space="0" w:color="7C138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13A88" w:themeFill="accent4" w:themeFillShade="99"/>
      </w:tcPr>
    </w:tblStylePr>
    <w:tblStylePr w:type="firstCol">
      <w:rPr>
        <w:color w:val="FFFFFF" w:themeColor="background1"/>
      </w:rPr>
      <w:tblPr/>
      <w:tcPr>
        <w:tcBorders>
          <w:top w:val="nil"/>
          <w:left w:val="nil"/>
          <w:bottom w:val="nil"/>
          <w:right w:val="nil"/>
          <w:insideH w:val="single" w:sz="4" w:space="0" w:color="613A88" w:themeColor="accent4" w:themeShade="99"/>
          <w:insideV w:val="nil"/>
        </w:tcBorders>
        <w:shd w:val="clear" w:color="auto" w:fill="613A8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13A88" w:themeFill="accent4" w:themeFillShade="99"/>
      </w:tcPr>
    </w:tblStylePr>
    <w:tblStylePr w:type="band1Vert">
      <w:tblPr/>
      <w:tcPr>
        <w:shd w:val="clear" w:color="auto" w:fill="DACBE9" w:themeFill="accent4" w:themeFillTint="66"/>
      </w:tcPr>
    </w:tblStylePr>
    <w:tblStylePr w:type="band1Horz">
      <w:tblPr/>
      <w:tcPr>
        <w:shd w:val="clear" w:color="auto" w:fill="D1BEE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1222D2"/>
    <w:pPr>
      <w:spacing w:after="0" w:line="240" w:lineRule="auto"/>
    </w:pPr>
    <w:rPr>
      <w:color w:val="000000" w:themeColor="text1"/>
    </w:rPr>
    <w:tblPr>
      <w:tblStyleRowBandSize w:val="1"/>
      <w:tblStyleColBandSize w:val="1"/>
      <w:tblBorders>
        <w:top w:val="single" w:sz="24" w:space="0" w:color="003F2B" w:themeColor="accent6"/>
        <w:left w:val="single" w:sz="4" w:space="0" w:color="E09F00" w:themeColor="accent5"/>
        <w:bottom w:val="single" w:sz="4" w:space="0" w:color="E09F00" w:themeColor="accent5"/>
        <w:right w:val="single" w:sz="4" w:space="0" w:color="E09F00" w:themeColor="accent5"/>
        <w:insideH w:val="single" w:sz="4" w:space="0" w:color="FFFFFF" w:themeColor="background1"/>
        <w:insideV w:val="single" w:sz="4" w:space="0" w:color="FFFFFF" w:themeColor="background1"/>
      </w:tblBorders>
    </w:tblPr>
    <w:tcPr>
      <w:shd w:val="clear" w:color="auto" w:fill="FFF6E2" w:themeFill="accent5" w:themeFillTint="19"/>
    </w:tcPr>
    <w:tblStylePr w:type="firstRow">
      <w:rPr>
        <w:b/>
        <w:bCs/>
      </w:rPr>
      <w:tblPr/>
      <w:tcPr>
        <w:tcBorders>
          <w:top w:val="nil"/>
          <w:left w:val="nil"/>
          <w:bottom w:val="single" w:sz="24" w:space="0" w:color="003F2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65F00" w:themeFill="accent5" w:themeFillShade="99"/>
      </w:tcPr>
    </w:tblStylePr>
    <w:tblStylePr w:type="firstCol">
      <w:rPr>
        <w:color w:val="FFFFFF" w:themeColor="background1"/>
      </w:rPr>
      <w:tblPr/>
      <w:tcPr>
        <w:tcBorders>
          <w:top w:val="nil"/>
          <w:left w:val="nil"/>
          <w:bottom w:val="nil"/>
          <w:right w:val="nil"/>
          <w:insideH w:val="single" w:sz="4" w:space="0" w:color="865F00" w:themeColor="accent5" w:themeShade="99"/>
          <w:insideV w:val="nil"/>
        </w:tcBorders>
        <w:shd w:val="clear" w:color="auto" w:fill="865F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65F00" w:themeFill="accent5" w:themeFillShade="99"/>
      </w:tcPr>
    </w:tblStylePr>
    <w:tblStylePr w:type="band1Vert">
      <w:tblPr/>
      <w:tcPr>
        <w:shd w:val="clear" w:color="auto" w:fill="FFDD8C" w:themeFill="accent5" w:themeFillTint="66"/>
      </w:tcPr>
    </w:tblStylePr>
    <w:tblStylePr w:type="band1Horz">
      <w:tblPr/>
      <w:tcPr>
        <w:shd w:val="clear" w:color="auto" w:fill="FFD57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1222D2"/>
    <w:pPr>
      <w:spacing w:after="0" w:line="240" w:lineRule="auto"/>
    </w:pPr>
    <w:rPr>
      <w:color w:val="000000" w:themeColor="text1"/>
    </w:rPr>
    <w:tblPr>
      <w:tblStyleRowBandSize w:val="1"/>
      <w:tblStyleColBandSize w:val="1"/>
      <w:tblBorders>
        <w:top w:val="single" w:sz="24" w:space="0" w:color="E09F00" w:themeColor="accent5"/>
        <w:left w:val="single" w:sz="4" w:space="0" w:color="003F2B" w:themeColor="accent6"/>
        <w:bottom w:val="single" w:sz="4" w:space="0" w:color="003F2B" w:themeColor="accent6"/>
        <w:right w:val="single" w:sz="4" w:space="0" w:color="003F2B" w:themeColor="accent6"/>
        <w:insideH w:val="single" w:sz="4" w:space="0" w:color="FFFFFF" w:themeColor="background1"/>
        <w:insideV w:val="single" w:sz="4" w:space="0" w:color="FFFFFF" w:themeColor="background1"/>
      </w:tblBorders>
    </w:tblPr>
    <w:tcPr>
      <w:shd w:val="clear" w:color="auto" w:fill="D3FFF1" w:themeFill="accent6" w:themeFillTint="19"/>
    </w:tcPr>
    <w:tblStylePr w:type="firstRow">
      <w:rPr>
        <w:b/>
        <w:bCs/>
      </w:rPr>
      <w:tblPr/>
      <w:tcPr>
        <w:tcBorders>
          <w:top w:val="nil"/>
          <w:left w:val="nil"/>
          <w:bottom w:val="single" w:sz="24" w:space="0" w:color="E09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519" w:themeFill="accent6" w:themeFillShade="99"/>
      </w:tcPr>
    </w:tblStylePr>
    <w:tblStylePr w:type="firstCol">
      <w:rPr>
        <w:color w:val="FFFFFF" w:themeColor="background1"/>
      </w:rPr>
      <w:tblPr/>
      <w:tcPr>
        <w:tcBorders>
          <w:top w:val="nil"/>
          <w:left w:val="nil"/>
          <w:bottom w:val="nil"/>
          <w:right w:val="nil"/>
          <w:insideH w:val="single" w:sz="4" w:space="0" w:color="002519" w:themeColor="accent6" w:themeShade="99"/>
          <w:insideV w:val="nil"/>
        </w:tcBorders>
        <w:shd w:val="clear" w:color="auto" w:fill="00251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2519" w:themeFill="accent6" w:themeFillShade="99"/>
      </w:tcPr>
    </w:tblStylePr>
    <w:tblStylePr w:type="band1Vert">
      <w:tblPr/>
      <w:tcPr>
        <w:shd w:val="clear" w:color="auto" w:fill="4CFFC6" w:themeFill="accent6" w:themeFillTint="66"/>
      </w:tcPr>
    </w:tblStylePr>
    <w:tblStylePr w:type="band1Horz">
      <w:tblPr/>
      <w:tcPr>
        <w:shd w:val="clear" w:color="auto" w:fill="20FFB8"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222D2"/>
    <w:rPr>
      <w:sz w:val="16"/>
      <w:szCs w:val="16"/>
    </w:rPr>
  </w:style>
  <w:style w:type="paragraph" w:styleId="CommentText">
    <w:name w:val="annotation text"/>
    <w:basedOn w:val="Normal"/>
    <w:link w:val="CommentTextChar"/>
    <w:uiPriority w:val="99"/>
    <w:unhideWhenUsed/>
    <w:rsid w:val="001222D2"/>
    <w:rPr>
      <w:sz w:val="20"/>
      <w:szCs w:val="20"/>
    </w:rPr>
  </w:style>
  <w:style w:type="character" w:customStyle="1" w:styleId="CommentTextChar">
    <w:name w:val="Comment Text Char"/>
    <w:basedOn w:val="DefaultParagraphFont"/>
    <w:link w:val="CommentText"/>
    <w:uiPriority w:val="99"/>
    <w:rsid w:val="001222D2"/>
    <w:rPr>
      <w:sz w:val="20"/>
      <w:szCs w:val="20"/>
    </w:rPr>
  </w:style>
  <w:style w:type="paragraph" w:styleId="CommentSubject">
    <w:name w:val="annotation subject"/>
    <w:basedOn w:val="CommentText"/>
    <w:next w:val="CommentText"/>
    <w:link w:val="CommentSubjectChar"/>
    <w:uiPriority w:val="99"/>
    <w:semiHidden/>
    <w:unhideWhenUsed/>
    <w:rsid w:val="001222D2"/>
    <w:rPr>
      <w:b/>
      <w:bCs/>
    </w:rPr>
  </w:style>
  <w:style w:type="character" w:customStyle="1" w:styleId="CommentSubjectChar">
    <w:name w:val="Comment Subject Char"/>
    <w:basedOn w:val="CommentTextChar"/>
    <w:link w:val="CommentSubject"/>
    <w:uiPriority w:val="99"/>
    <w:semiHidden/>
    <w:rsid w:val="001222D2"/>
    <w:rPr>
      <w:b/>
      <w:bCs/>
      <w:sz w:val="20"/>
      <w:szCs w:val="20"/>
    </w:rPr>
  </w:style>
  <w:style w:type="table" w:styleId="DarkList">
    <w:name w:val="Dark List"/>
    <w:basedOn w:val="TableNormal"/>
    <w:uiPriority w:val="70"/>
    <w:rsid w:val="001222D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1222D2"/>
    <w:pPr>
      <w:spacing w:after="0" w:line="240" w:lineRule="auto"/>
    </w:pPr>
    <w:rPr>
      <w:color w:val="FFFFFF" w:themeColor="background1"/>
    </w:rPr>
    <w:tblPr>
      <w:tblStyleRowBandSize w:val="1"/>
      <w:tblStyleColBandSize w:val="1"/>
    </w:tblPr>
    <w:tcPr>
      <w:shd w:val="clear" w:color="auto" w:fill="6E6E6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363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2525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25252" w:themeFill="accent1" w:themeFillShade="BF"/>
      </w:tcPr>
    </w:tblStylePr>
    <w:tblStylePr w:type="band1Vert">
      <w:tblPr/>
      <w:tcPr>
        <w:tcBorders>
          <w:top w:val="nil"/>
          <w:left w:val="nil"/>
          <w:bottom w:val="nil"/>
          <w:right w:val="nil"/>
          <w:insideH w:val="nil"/>
          <w:insideV w:val="nil"/>
        </w:tcBorders>
        <w:shd w:val="clear" w:color="auto" w:fill="525252" w:themeFill="accent1" w:themeFillShade="BF"/>
      </w:tcPr>
    </w:tblStylePr>
    <w:tblStylePr w:type="band1Horz">
      <w:tblPr/>
      <w:tcPr>
        <w:tcBorders>
          <w:top w:val="nil"/>
          <w:left w:val="nil"/>
          <w:bottom w:val="nil"/>
          <w:right w:val="nil"/>
          <w:insideH w:val="nil"/>
          <w:insideV w:val="nil"/>
        </w:tcBorders>
        <w:shd w:val="clear" w:color="auto" w:fill="525252" w:themeFill="accent1" w:themeFillShade="BF"/>
      </w:tcPr>
    </w:tblStylePr>
  </w:style>
  <w:style w:type="table" w:styleId="DarkList-Accent2">
    <w:name w:val="Dark List Accent 2"/>
    <w:basedOn w:val="TableNormal"/>
    <w:uiPriority w:val="70"/>
    <w:rsid w:val="001222D2"/>
    <w:pPr>
      <w:spacing w:after="0" w:line="240" w:lineRule="auto"/>
    </w:pPr>
    <w:rPr>
      <w:color w:val="FFFFFF" w:themeColor="background1"/>
    </w:rPr>
    <w:tblPr>
      <w:tblStyleRowBandSize w:val="1"/>
      <w:tblStyleColBandSize w:val="1"/>
    </w:tblPr>
    <w:tcPr>
      <w:shd w:val="clear" w:color="auto" w:fill="3F9D8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4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F756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F7567" w:themeFill="accent2" w:themeFillShade="BF"/>
      </w:tcPr>
    </w:tblStylePr>
    <w:tblStylePr w:type="band1Vert">
      <w:tblPr/>
      <w:tcPr>
        <w:tcBorders>
          <w:top w:val="nil"/>
          <w:left w:val="nil"/>
          <w:bottom w:val="nil"/>
          <w:right w:val="nil"/>
          <w:insideH w:val="nil"/>
          <w:insideV w:val="nil"/>
        </w:tcBorders>
        <w:shd w:val="clear" w:color="auto" w:fill="2F7567" w:themeFill="accent2" w:themeFillShade="BF"/>
      </w:tcPr>
    </w:tblStylePr>
    <w:tblStylePr w:type="band1Horz">
      <w:tblPr/>
      <w:tcPr>
        <w:tcBorders>
          <w:top w:val="nil"/>
          <w:left w:val="nil"/>
          <w:bottom w:val="nil"/>
          <w:right w:val="nil"/>
          <w:insideH w:val="nil"/>
          <w:insideV w:val="nil"/>
        </w:tcBorders>
        <w:shd w:val="clear" w:color="auto" w:fill="2F7567" w:themeFill="accent2" w:themeFillShade="BF"/>
      </w:tcPr>
    </w:tblStylePr>
  </w:style>
  <w:style w:type="table" w:styleId="DarkList-Accent3">
    <w:name w:val="Dark List Accent 3"/>
    <w:basedOn w:val="TableNormal"/>
    <w:uiPriority w:val="70"/>
    <w:rsid w:val="001222D2"/>
    <w:pPr>
      <w:spacing w:after="0" w:line="240" w:lineRule="auto"/>
    </w:pPr>
    <w:rPr>
      <w:color w:val="FFFFFF" w:themeColor="background1"/>
    </w:rPr>
    <w:tblPr>
      <w:tblStyleRowBandSize w:val="1"/>
      <w:tblStyleColBandSize w:val="1"/>
    </w:tblPr>
    <w:tcPr>
      <w:shd w:val="clear" w:color="auto" w:fill="7C138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D094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C0E6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C0E66" w:themeFill="accent3" w:themeFillShade="BF"/>
      </w:tcPr>
    </w:tblStylePr>
    <w:tblStylePr w:type="band1Vert">
      <w:tblPr/>
      <w:tcPr>
        <w:tcBorders>
          <w:top w:val="nil"/>
          <w:left w:val="nil"/>
          <w:bottom w:val="nil"/>
          <w:right w:val="nil"/>
          <w:insideH w:val="nil"/>
          <w:insideV w:val="nil"/>
        </w:tcBorders>
        <w:shd w:val="clear" w:color="auto" w:fill="5C0E66" w:themeFill="accent3" w:themeFillShade="BF"/>
      </w:tcPr>
    </w:tblStylePr>
    <w:tblStylePr w:type="band1Horz">
      <w:tblPr/>
      <w:tcPr>
        <w:tcBorders>
          <w:top w:val="nil"/>
          <w:left w:val="nil"/>
          <w:bottom w:val="nil"/>
          <w:right w:val="nil"/>
          <w:insideH w:val="nil"/>
          <w:insideV w:val="nil"/>
        </w:tcBorders>
        <w:shd w:val="clear" w:color="auto" w:fill="5C0E66" w:themeFill="accent3" w:themeFillShade="BF"/>
      </w:tcPr>
    </w:tblStylePr>
  </w:style>
  <w:style w:type="table" w:styleId="DarkList-Accent4">
    <w:name w:val="Dark List Accent 4"/>
    <w:basedOn w:val="TableNormal"/>
    <w:uiPriority w:val="70"/>
    <w:rsid w:val="001222D2"/>
    <w:pPr>
      <w:spacing w:after="0" w:line="240" w:lineRule="auto"/>
    </w:pPr>
    <w:rPr>
      <w:color w:val="FFFFFF" w:themeColor="background1"/>
    </w:rPr>
    <w:tblPr>
      <w:tblStyleRowBandSize w:val="1"/>
      <w:tblStyleColBandSize w:val="1"/>
    </w:tblPr>
    <w:tcPr>
      <w:shd w:val="clear" w:color="auto" w:fill="A37EC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307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949A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949AB" w:themeFill="accent4" w:themeFillShade="BF"/>
      </w:tcPr>
    </w:tblStylePr>
    <w:tblStylePr w:type="band1Vert">
      <w:tblPr/>
      <w:tcPr>
        <w:tcBorders>
          <w:top w:val="nil"/>
          <w:left w:val="nil"/>
          <w:bottom w:val="nil"/>
          <w:right w:val="nil"/>
          <w:insideH w:val="nil"/>
          <w:insideV w:val="nil"/>
        </w:tcBorders>
        <w:shd w:val="clear" w:color="auto" w:fill="7949AB" w:themeFill="accent4" w:themeFillShade="BF"/>
      </w:tcPr>
    </w:tblStylePr>
    <w:tblStylePr w:type="band1Horz">
      <w:tblPr/>
      <w:tcPr>
        <w:tcBorders>
          <w:top w:val="nil"/>
          <w:left w:val="nil"/>
          <w:bottom w:val="nil"/>
          <w:right w:val="nil"/>
          <w:insideH w:val="nil"/>
          <w:insideV w:val="nil"/>
        </w:tcBorders>
        <w:shd w:val="clear" w:color="auto" w:fill="7949AB" w:themeFill="accent4" w:themeFillShade="BF"/>
      </w:tcPr>
    </w:tblStylePr>
  </w:style>
  <w:style w:type="table" w:styleId="DarkList-Accent5">
    <w:name w:val="Dark List Accent 5"/>
    <w:basedOn w:val="TableNormal"/>
    <w:uiPriority w:val="70"/>
    <w:rsid w:val="001222D2"/>
    <w:pPr>
      <w:spacing w:after="0" w:line="240" w:lineRule="auto"/>
    </w:pPr>
    <w:rPr>
      <w:color w:val="FFFFFF" w:themeColor="background1"/>
    </w:rPr>
    <w:tblPr>
      <w:tblStyleRowBandSize w:val="1"/>
      <w:tblStyleColBandSize w:val="1"/>
    </w:tblPr>
    <w:tcPr>
      <w:shd w:val="clear" w:color="auto" w:fill="E09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F4F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777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77700" w:themeFill="accent5" w:themeFillShade="BF"/>
      </w:tcPr>
    </w:tblStylePr>
    <w:tblStylePr w:type="band1Vert">
      <w:tblPr/>
      <w:tcPr>
        <w:tcBorders>
          <w:top w:val="nil"/>
          <w:left w:val="nil"/>
          <w:bottom w:val="nil"/>
          <w:right w:val="nil"/>
          <w:insideH w:val="nil"/>
          <w:insideV w:val="nil"/>
        </w:tcBorders>
        <w:shd w:val="clear" w:color="auto" w:fill="A77700" w:themeFill="accent5" w:themeFillShade="BF"/>
      </w:tcPr>
    </w:tblStylePr>
    <w:tblStylePr w:type="band1Horz">
      <w:tblPr/>
      <w:tcPr>
        <w:tcBorders>
          <w:top w:val="nil"/>
          <w:left w:val="nil"/>
          <w:bottom w:val="nil"/>
          <w:right w:val="nil"/>
          <w:insideH w:val="nil"/>
          <w:insideV w:val="nil"/>
        </w:tcBorders>
        <w:shd w:val="clear" w:color="auto" w:fill="A77700" w:themeFill="accent5" w:themeFillShade="BF"/>
      </w:tcPr>
    </w:tblStylePr>
  </w:style>
  <w:style w:type="table" w:styleId="DarkList-Accent6">
    <w:name w:val="Dark List Accent 6"/>
    <w:basedOn w:val="TableNormal"/>
    <w:uiPriority w:val="70"/>
    <w:rsid w:val="001222D2"/>
    <w:pPr>
      <w:spacing w:after="0" w:line="240" w:lineRule="auto"/>
    </w:pPr>
    <w:rPr>
      <w:color w:val="FFFFFF" w:themeColor="background1"/>
    </w:rPr>
    <w:tblPr>
      <w:tblStyleRowBandSize w:val="1"/>
      <w:tblStyleColBandSize w:val="1"/>
    </w:tblPr>
    <w:tcPr>
      <w:shd w:val="clear" w:color="auto" w:fill="003F2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F1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2F2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2F20" w:themeFill="accent6" w:themeFillShade="BF"/>
      </w:tcPr>
    </w:tblStylePr>
    <w:tblStylePr w:type="band1Vert">
      <w:tblPr/>
      <w:tcPr>
        <w:tcBorders>
          <w:top w:val="nil"/>
          <w:left w:val="nil"/>
          <w:bottom w:val="nil"/>
          <w:right w:val="nil"/>
          <w:insideH w:val="nil"/>
          <w:insideV w:val="nil"/>
        </w:tcBorders>
        <w:shd w:val="clear" w:color="auto" w:fill="002F20" w:themeFill="accent6" w:themeFillShade="BF"/>
      </w:tcPr>
    </w:tblStylePr>
    <w:tblStylePr w:type="band1Horz">
      <w:tblPr/>
      <w:tcPr>
        <w:tcBorders>
          <w:top w:val="nil"/>
          <w:left w:val="nil"/>
          <w:bottom w:val="nil"/>
          <w:right w:val="nil"/>
          <w:insideH w:val="nil"/>
          <w:insideV w:val="nil"/>
        </w:tcBorders>
        <w:shd w:val="clear" w:color="auto" w:fill="002F20" w:themeFill="accent6" w:themeFillShade="BF"/>
      </w:tcPr>
    </w:tblStylePr>
  </w:style>
  <w:style w:type="paragraph" w:styleId="Date">
    <w:name w:val="Date"/>
    <w:basedOn w:val="Normal"/>
    <w:next w:val="Normal"/>
    <w:link w:val="DateChar"/>
    <w:uiPriority w:val="99"/>
    <w:semiHidden/>
    <w:unhideWhenUsed/>
    <w:rsid w:val="001222D2"/>
  </w:style>
  <w:style w:type="character" w:customStyle="1" w:styleId="DateChar">
    <w:name w:val="Date Char"/>
    <w:basedOn w:val="DefaultParagraphFont"/>
    <w:link w:val="Date"/>
    <w:uiPriority w:val="99"/>
    <w:semiHidden/>
    <w:rsid w:val="001222D2"/>
    <w:rPr>
      <w:sz w:val="24"/>
    </w:rPr>
  </w:style>
  <w:style w:type="paragraph" w:styleId="DocumentMap">
    <w:name w:val="Document Map"/>
    <w:basedOn w:val="Normal"/>
    <w:link w:val="DocumentMapChar"/>
    <w:uiPriority w:val="99"/>
    <w:semiHidden/>
    <w:unhideWhenUsed/>
    <w:rsid w:val="001222D2"/>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1222D2"/>
    <w:rPr>
      <w:rFonts w:ascii="Tahoma" w:hAnsi="Tahoma" w:cs="Tahoma"/>
      <w:sz w:val="16"/>
      <w:szCs w:val="16"/>
    </w:rPr>
  </w:style>
  <w:style w:type="paragraph" w:styleId="E-mailSignature">
    <w:name w:val="E-mail Signature"/>
    <w:basedOn w:val="Normal"/>
    <w:link w:val="E-mailSignatureChar"/>
    <w:uiPriority w:val="99"/>
    <w:semiHidden/>
    <w:unhideWhenUsed/>
    <w:rsid w:val="001222D2"/>
    <w:pPr>
      <w:spacing w:after="0"/>
    </w:pPr>
  </w:style>
  <w:style w:type="character" w:customStyle="1" w:styleId="E-mailSignatureChar">
    <w:name w:val="E-mail Signature Char"/>
    <w:basedOn w:val="DefaultParagraphFont"/>
    <w:link w:val="E-mailSignature"/>
    <w:uiPriority w:val="99"/>
    <w:semiHidden/>
    <w:rsid w:val="001222D2"/>
    <w:rPr>
      <w:sz w:val="24"/>
    </w:rPr>
  </w:style>
  <w:style w:type="character" w:styleId="Emphasis">
    <w:name w:val="Emphasis"/>
    <w:basedOn w:val="DefaultParagraphFont"/>
    <w:uiPriority w:val="41"/>
    <w:qFormat/>
    <w:rsid w:val="001222D2"/>
    <w:rPr>
      <w:i/>
      <w:iCs/>
    </w:rPr>
  </w:style>
  <w:style w:type="character" w:styleId="EndnoteReference">
    <w:name w:val="endnote reference"/>
    <w:basedOn w:val="DefaultParagraphFont"/>
    <w:uiPriority w:val="99"/>
    <w:semiHidden/>
    <w:unhideWhenUsed/>
    <w:rsid w:val="001222D2"/>
    <w:rPr>
      <w:vertAlign w:val="superscript"/>
    </w:rPr>
  </w:style>
  <w:style w:type="paragraph" w:styleId="EndnoteText">
    <w:name w:val="endnote text"/>
    <w:basedOn w:val="Normal"/>
    <w:link w:val="EndnoteTextChar"/>
    <w:uiPriority w:val="99"/>
    <w:semiHidden/>
    <w:unhideWhenUsed/>
    <w:rsid w:val="001222D2"/>
    <w:pPr>
      <w:spacing w:after="0"/>
    </w:pPr>
    <w:rPr>
      <w:sz w:val="20"/>
      <w:szCs w:val="20"/>
    </w:rPr>
  </w:style>
  <w:style w:type="character" w:customStyle="1" w:styleId="EndnoteTextChar">
    <w:name w:val="Endnote Text Char"/>
    <w:basedOn w:val="DefaultParagraphFont"/>
    <w:link w:val="EndnoteText"/>
    <w:uiPriority w:val="99"/>
    <w:semiHidden/>
    <w:rsid w:val="001222D2"/>
    <w:rPr>
      <w:sz w:val="20"/>
      <w:szCs w:val="20"/>
    </w:rPr>
  </w:style>
  <w:style w:type="paragraph" w:styleId="EnvelopeAddress">
    <w:name w:val="envelope address"/>
    <w:basedOn w:val="Normal"/>
    <w:uiPriority w:val="99"/>
    <w:semiHidden/>
    <w:unhideWhenUsed/>
    <w:rsid w:val="001222D2"/>
    <w:pPr>
      <w:framePr w:w="7920" w:h="1980" w:hRule="exact" w:hSpace="180" w:wrap="auto" w:hAnchor="page" w:xAlign="center" w:yAlign="bottom"/>
      <w:spacing w:after="0"/>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222D2"/>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1222D2"/>
    <w:rPr>
      <w:color w:val="954F72" w:themeColor="followedHyperlink"/>
      <w:u w:val="single"/>
    </w:rPr>
  </w:style>
  <w:style w:type="character" w:customStyle="1" w:styleId="Heading7Char">
    <w:name w:val="Heading 7 Char"/>
    <w:basedOn w:val="DefaultParagraphFont"/>
    <w:link w:val="Heading7"/>
    <w:uiPriority w:val="28"/>
    <w:semiHidden/>
    <w:rsid w:val="001222D2"/>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28"/>
    <w:semiHidden/>
    <w:rsid w:val="001222D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28"/>
    <w:semiHidden/>
    <w:rsid w:val="001222D2"/>
    <w:rPr>
      <w:rFonts w:asciiTheme="majorHAnsi" w:eastAsiaTheme="majorEastAsia" w:hAnsiTheme="majorHAnsi" w:cstheme="majorBidi"/>
      <w:i/>
      <w:iCs/>
      <w:color w:val="404040" w:themeColor="text1" w:themeTint="BF"/>
      <w:sz w:val="20"/>
      <w:szCs w:val="20"/>
    </w:rPr>
  </w:style>
  <w:style w:type="character" w:styleId="HTMLAcronym">
    <w:name w:val="HTML Acronym"/>
    <w:basedOn w:val="DefaultParagraphFont"/>
    <w:uiPriority w:val="99"/>
    <w:semiHidden/>
    <w:unhideWhenUsed/>
    <w:rsid w:val="001222D2"/>
  </w:style>
  <w:style w:type="paragraph" w:styleId="HTMLAddress">
    <w:name w:val="HTML Address"/>
    <w:basedOn w:val="Normal"/>
    <w:link w:val="HTMLAddressChar"/>
    <w:uiPriority w:val="99"/>
    <w:semiHidden/>
    <w:unhideWhenUsed/>
    <w:rsid w:val="001222D2"/>
    <w:pPr>
      <w:spacing w:after="0"/>
    </w:pPr>
    <w:rPr>
      <w:i/>
      <w:iCs/>
    </w:rPr>
  </w:style>
  <w:style w:type="character" w:customStyle="1" w:styleId="HTMLAddressChar">
    <w:name w:val="HTML Address Char"/>
    <w:basedOn w:val="DefaultParagraphFont"/>
    <w:link w:val="HTMLAddress"/>
    <w:uiPriority w:val="99"/>
    <w:semiHidden/>
    <w:rsid w:val="001222D2"/>
    <w:rPr>
      <w:i/>
      <w:iCs/>
      <w:sz w:val="24"/>
    </w:rPr>
  </w:style>
  <w:style w:type="character" w:styleId="HTMLCite">
    <w:name w:val="HTML Cite"/>
    <w:basedOn w:val="DefaultParagraphFont"/>
    <w:uiPriority w:val="99"/>
    <w:semiHidden/>
    <w:unhideWhenUsed/>
    <w:rsid w:val="001222D2"/>
    <w:rPr>
      <w:i/>
      <w:iCs/>
    </w:rPr>
  </w:style>
  <w:style w:type="character" w:styleId="HTMLCode">
    <w:name w:val="HTML Code"/>
    <w:basedOn w:val="DefaultParagraphFont"/>
    <w:uiPriority w:val="99"/>
    <w:semiHidden/>
    <w:unhideWhenUsed/>
    <w:rsid w:val="001222D2"/>
    <w:rPr>
      <w:rFonts w:ascii="Consolas" w:hAnsi="Consolas"/>
      <w:sz w:val="20"/>
      <w:szCs w:val="20"/>
    </w:rPr>
  </w:style>
  <w:style w:type="character" w:styleId="HTMLDefinition">
    <w:name w:val="HTML Definition"/>
    <w:basedOn w:val="DefaultParagraphFont"/>
    <w:uiPriority w:val="99"/>
    <w:semiHidden/>
    <w:unhideWhenUsed/>
    <w:rsid w:val="001222D2"/>
    <w:rPr>
      <w:i/>
      <w:iCs/>
    </w:rPr>
  </w:style>
  <w:style w:type="character" w:styleId="HTMLKeyboard">
    <w:name w:val="HTML Keyboard"/>
    <w:basedOn w:val="DefaultParagraphFont"/>
    <w:uiPriority w:val="99"/>
    <w:semiHidden/>
    <w:unhideWhenUsed/>
    <w:rsid w:val="001222D2"/>
    <w:rPr>
      <w:rFonts w:ascii="Consolas" w:hAnsi="Consolas"/>
      <w:sz w:val="20"/>
      <w:szCs w:val="20"/>
    </w:rPr>
  </w:style>
  <w:style w:type="paragraph" w:styleId="HTMLPreformatted">
    <w:name w:val="HTML Preformatted"/>
    <w:basedOn w:val="Normal"/>
    <w:link w:val="HTMLPreformattedChar"/>
    <w:uiPriority w:val="99"/>
    <w:semiHidden/>
    <w:unhideWhenUsed/>
    <w:rsid w:val="001222D2"/>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222D2"/>
    <w:rPr>
      <w:rFonts w:ascii="Consolas" w:hAnsi="Consolas"/>
      <w:sz w:val="20"/>
      <w:szCs w:val="20"/>
    </w:rPr>
  </w:style>
  <w:style w:type="character" w:styleId="HTMLSample">
    <w:name w:val="HTML Sample"/>
    <w:basedOn w:val="DefaultParagraphFont"/>
    <w:uiPriority w:val="99"/>
    <w:semiHidden/>
    <w:unhideWhenUsed/>
    <w:rsid w:val="001222D2"/>
    <w:rPr>
      <w:rFonts w:ascii="Consolas" w:hAnsi="Consolas"/>
      <w:sz w:val="24"/>
      <w:szCs w:val="24"/>
    </w:rPr>
  </w:style>
  <w:style w:type="character" w:styleId="HTMLTypewriter">
    <w:name w:val="HTML Typewriter"/>
    <w:basedOn w:val="DefaultParagraphFont"/>
    <w:uiPriority w:val="99"/>
    <w:semiHidden/>
    <w:unhideWhenUsed/>
    <w:rsid w:val="001222D2"/>
    <w:rPr>
      <w:rFonts w:ascii="Consolas" w:hAnsi="Consolas"/>
      <w:sz w:val="20"/>
      <w:szCs w:val="20"/>
    </w:rPr>
  </w:style>
  <w:style w:type="character" w:styleId="HTMLVariable">
    <w:name w:val="HTML Variable"/>
    <w:basedOn w:val="DefaultParagraphFont"/>
    <w:uiPriority w:val="99"/>
    <w:semiHidden/>
    <w:unhideWhenUsed/>
    <w:rsid w:val="001222D2"/>
    <w:rPr>
      <w:i/>
      <w:iCs/>
    </w:rPr>
  </w:style>
  <w:style w:type="paragraph" w:styleId="Index1">
    <w:name w:val="index 1"/>
    <w:basedOn w:val="Normal"/>
    <w:next w:val="Normal"/>
    <w:autoRedefine/>
    <w:uiPriority w:val="99"/>
    <w:semiHidden/>
    <w:unhideWhenUsed/>
    <w:rsid w:val="001222D2"/>
    <w:pPr>
      <w:spacing w:after="0"/>
      <w:ind w:left="240" w:hanging="240"/>
    </w:pPr>
  </w:style>
  <w:style w:type="paragraph" w:styleId="Index2">
    <w:name w:val="index 2"/>
    <w:basedOn w:val="Normal"/>
    <w:next w:val="Normal"/>
    <w:autoRedefine/>
    <w:uiPriority w:val="99"/>
    <w:semiHidden/>
    <w:unhideWhenUsed/>
    <w:rsid w:val="001222D2"/>
    <w:pPr>
      <w:spacing w:after="0"/>
      <w:ind w:left="480" w:hanging="240"/>
    </w:pPr>
  </w:style>
  <w:style w:type="paragraph" w:styleId="Index3">
    <w:name w:val="index 3"/>
    <w:basedOn w:val="Normal"/>
    <w:next w:val="Normal"/>
    <w:autoRedefine/>
    <w:uiPriority w:val="99"/>
    <w:semiHidden/>
    <w:unhideWhenUsed/>
    <w:rsid w:val="001222D2"/>
    <w:pPr>
      <w:spacing w:after="0"/>
      <w:ind w:left="720" w:hanging="240"/>
    </w:pPr>
  </w:style>
  <w:style w:type="paragraph" w:styleId="Index4">
    <w:name w:val="index 4"/>
    <w:basedOn w:val="Normal"/>
    <w:next w:val="Normal"/>
    <w:autoRedefine/>
    <w:uiPriority w:val="99"/>
    <w:semiHidden/>
    <w:unhideWhenUsed/>
    <w:rsid w:val="001222D2"/>
    <w:pPr>
      <w:spacing w:after="0"/>
      <w:ind w:left="960" w:hanging="240"/>
    </w:pPr>
  </w:style>
  <w:style w:type="paragraph" w:styleId="Index5">
    <w:name w:val="index 5"/>
    <w:basedOn w:val="Normal"/>
    <w:next w:val="Normal"/>
    <w:autoRedefine/>
    <w:uiPriority w:val="99"/>
    <w:semiHidden/>
    <w:unhideWhenUsed/>
    <w:rsid w:val="001222D2"/>
    <w:pPr>
      <w:spacing w:after="0"/>
      <w:ind w:left="1200" w:hanging="240"/>
    </w:pPr>
  </w:style>
  <w:style w:type="paragraph" w:styleId="Index6">
    <w:name w:val="index 6"/>
    <w:basedOn w:val="Normal"/>
    <w:next w:val="Normal"/>
    <w:autoRedefine/>
    <w:uiPriority w:val="99"/>
    <w:semiHidden/>
    <w:unhideWhenUsed/>
    <w:rsid w:val="001222D2"/>
    <w:pPr>
      <w:spacing w:after="0"/>
      <w:ind w:left="1440" w:hanging="240"/>
    </w:pPr>
  </w:style>
  <w:style w:type="paragraph" w:styleId="Index7">
    <w:name w:val="index 7"/>
    <w:basedOn w:val="Normal"/>
    <w:next w:val="Normal"/>
    <w:autoRedefine/>
    <w:uiPriority w:val="99"/>
    <w:semiHidden/>
    <w:unhideWhenUsed/>
    <w:rsid w:val="001222D2"/>
    <w:pPr>
      <w:spacing w:after="0"/>
      <w:ind w:left="1680" w:hanging="240"/>
    </w:pPr>
  </w:style>
  <w:style w:type="paragraph" w:styleId="Index8">
    <w:name w:val="index 8"/>
    <w:basedOn w:val="Normal"/>
    <w:next w:val="Normal"/>
    <w:autoRedefine/>
    <w:uiPriority w:val="99"/>
    <w:semiHidden/>
    <w:unhideWhenUsed/>
    <w:rsid w:val="001222D2"/>
    <w:pPr>
      <w:spacing w:after="0"/>
      <w:ind w:left="1920" w:hanging="240"/>
    </w:pPr>
  </w:style>
  <w:style w:type="paragraph" w:styleId="Index9">
    <w:name w:val="index 9"/>
    <w:basedOn w:val="Normal"/>
    <w:next w:val="Normal"/>
    <w:autoRedefine/>
    <w:uiPriority w:val="99"/>
    <w:semiHidden/>
    <w:unhideWhenUsed/>
    <w:rsid w:val="001222D2"/>
    <w:pPr>
      <w:spacing w:after="0"/>
      <w:ind w:left="2160" w:hanging="240"/>
    </w:pPr>
  </w:style>
  <w:style w:type="paragraph" w:styleId="IndexHeading">
    <w:name w:val="index heading"/>
    <w:basedOn w:val="Normal"/>
    <w:next w:val="Index1"/>
    <w:uiPriority w:val="99"/>
    <w:semiHidden/>
    <w:unhideWhenUsed/>
    <w:rsid w:val="001222D2"/>
    <w:rPr>
      <w:rFonts w:asciiTheme="majorHAnsi" w:eastAsiaTheme="majorEastAsia" w:hAnsiTheme="majorHAnsi" w:cstheme="majorBidi"/>
      <w:b/>
      <w:bCs/>
    </w:rPr>
  </w:style>
  <w:style w:type="character" w:styleId="IntenseEmphasis">
    <w:name w:val="Intense Emphasis"/>
    <w:basedOn w:val="DefaultParagraphFont"/>
    <w:uiPriority w:val="40"/>
    <w:qFormat/>
    <w:rsid w:val="001222D2"/>
    <w:rPr>
      <w:b/>
      <w:bCs/>
      <w:i/>
      <w:iCs/>
      <w:color w:val="6E6E6E" w:themeColor="accent1"/>
    </w:rPr>
  </w:style>
  <w:style w:type="paragraph" w:styleId="IntenseQuote">
    <w:name w:val="Intense Quote"/>
    <w:basedOn w:val="Normal"/>
    <w:next w:val="Normal"/>
    <w:link w:val="IntenseQuoteChar"/>
    <w:uiPriority w:val="49"/>
    <w:qFormat/>
    <w:rsid w:val="001222D2"/>
    <w:pPr>
      <w:pBdr>
        <w:bottom w:val="single" w:sz="4" w:space="4" w:color="6E6E6E" w:themeColor="accent1"/>
      </w:pBdr>
      <w:spacing w:before="200" w:after="280"/>
      <w:ind w:left="936" w:right="936"/>
    </w:pPr>
    <w:rPr>
      <w:b/>
      <w:bCs/>
      <w:i/>
      <w:iCs/>
      <w:color w:val="6E6E6E" w:themeColor="accent1"/>
    </w:rPr>
  </w:style>
  <w:style w:type="character" w:customStyle="1" w:styleId="IntenseQuoteChar">
    <w:name w:val="Intense Quote Char"/>
    <w:basedOn w:val="DefaultParagraphFont"/>
    <w:link w:val="IntenseQuote"/>
    <w:uiPriority w:val="49"/>
    <w:rsid w:val="001222D2"/>
    <w:rPr>
      <w:b/>
      <w:bCs/>
      <w:i/>
      <w:iCs/>
      <w:color w:val="6E6E6E" w:themeColor="accent1"/>
      <w:sz w:val="24"/>
    </w:rPr>
  </w:style>
  <w:style w:type="character" w:styleId="IntenseReference">
    <w:name w:val="Intense Reference"/>
    <w:basedOn w:val="DefaultParagraphFont"/>
    <w:uiPriority w:val="51"/>
    <w:qFormat/>
    <w:rsid w:val="001222D2"/>
    <w:rPr>
      <w:b/>
      <w:bCs/>
      <w:smallCaps/>
      <w:color w:val="3F9D8A" w:themeColor="accent2"/>
      <w:spacing w:val="5"/>
      <w:u w:val="single"/>
    </w:rPr>
  </w:style>
  <w:style w:type="table" w:styleId="LightGrid">
    <w:name w:val="Light Grid"/>
    <w:basedOn w:val="TableNormal"/>
    <w:uiPriority w:val="62"/>
    <w:rsid w:val="001222D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1222D2"/>
    <w:pPr>
      <w:spacing w:after="0" w:line="240" w:lineRule="auto"/>
    </w:pPr>
    <w:tblPr>
      <w:tblStyleRowBandSize w:val="1"/>
      <w:tblStyleColBandSize w:val="1"/>
      <w:tblBorders>
        <w:top w:val="single" w:sz="8" w:space="0" w:color="6E6E6E" w:themeColor="accent1"/>
        <w:left w:val="single" w:sz="8" w:space="0" w:color="6E6E6E" w:themeColor="accent1"/>
        <w:bottom w:val="single" w:sz="8" w:space="0" w:color="6E6E6E" w:themeColor="accent1"/>
        <w:right w:val="single" w:sz="8" w:space="0" w:color="6E6E6E" w:themeColor="accent1"/>
        <w:insideH w:val="single" w:sz="8" w:space="0" w:color="6E6E6E" w:themeColor="accent1"/>
        <w:insideV w:val="single" w:sz="8" w:space="0" w:color="6E6E6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E6E" w:themeColor="accent1"/>
          <w:left w:val="single" w:sz="8" w:space="0" w:color="6E6E6E" w:themeColor="accent1"/>
          <w:bottom w:val="single" w:sz="18" w:space="0" w:color="6E6E6E" w:themeColor="accent1"/>
          <w:right w:val="single" w:sz="8" w:space="0" w:color="6E6E6E" w:themeColor="accent1"/>
          <w:insideH w:val="nil"/>
          <w:insideV w:val="single" w:sz="8" w:space="0" w:color="6E6E6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E6E" w:themeColor="accent1"/>
          <w:left w:val="single" w:sz="8" w:space="0" w:color="6E6E6E" w:themeColor="accent1"/>
          <w:bottom w:val="single" w:sz="8" w:space="0" w:color="6E6E6E" w:themeColor="accent1"/>
          <w:right w:val="single" w:sz="8" w:space="0" w:color="6E6E6E" w:themeColor="accent1"/>
          <w:insideH w:val="nil"/>
          <w:insideV w:val="single" w:sz="8" w:space="0" w:color="6E6E6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E6E" w:themeColor="accent1"/>
          <w:left w:val="single" w:sz="8" w:space="0" w:color="6E6E6E" w:themeColor="accent1"/>
          <w:bottom w:val="single" w:sz="8" w:space="0" w:color="6E6E6E" w:themeColor="accent1"/>
          <w:right w:val="single" w:sz="8" w:space="0" w:color="6E6E6E" w:themeColor="accent1"/>
        </w:tcBorders>
      </w:tcPr>
    </w:tblStylePr>
    <w:tblStylePr w:type="band1Vert">
      <w:tblPr/>
      <w:tcPr>
        <w:tcBorders>
          <w:top w:val="single" w:sz="8" w:space="0" w:color="6E6E6E" w:themeColor="accent1"/>
          <w:left w:val="single" w:sz="8" w:space="0" w:color="6E6E6E" w:themeColor="accent1"/>
          <w:bottom w:val="single" w:sz="8" w:space="0" w:color="6E6E6E" w:themeColor="accent1"/>
          <w:right w:val="single" w:sz="8" w:space="0" w:color="6E6E6E" w:themeColor="accent1"/>
        </w:tcBorders>
        <w:shd w:val="clear" w:color="auto" w:fill="DBDBDB" w:themeFill="accent1" w:themeFillTint="3F"/>
      </w:tcPr>
    </w:tblStylePr>
    <w:tblStylePr w:type="band1Horz">
      <w:tblPr/>
      <w:tcPr>
        <w:tcBorders>
          <w:top w:val="single" w:sz="8" w:space="0" w:color="6E6E6E" w:themeColor="accent1"/>
          <w:left w:val="single" w:sz="8" w:space="0" w:color="6E6E6E" w:themeColor="accent1"/>
          <w:bottom w:val="single" w:sz="8" w:space="0" w:color="6E6E6E" w:themeColor="accent1"/>
          <w:right w:val="single" w:sz="8" w:space="0" w:color="6E6E6E" w:themeColor="accent1"/>
          <w:insideV w:val="single" w:sz="8" w:space="0" w:color="6E6E6E" w:themeColor="accent1"/>
        </w:tcBorders>
        <w:shd w:val="clear" w:color="auto" w:fill="DBDBDB" w:themeFill="accent1" w:themeFillTint="3F"/>
      </w:tcPr>
    </w:tblStylePr>
    <w:tblStylePr w:type="band2Horz">
      <w:tblPr/>
      <w:tcPr>
        <w:tcBorders>
          <w:top w:val="single" w:sz="8" w:space="0" w:color="6E6E6E" w:themeColor="accent1"/>
          <w:left w:val="single" w:sz="8" w:space="0" w:color="6E6E6E" w:themeColor="accent1"/>
          <w:bottom w:val="single" w:sz="8" w:space="0" w:color="6E6E6E" w:themeColor="accent1"/>
          <w:right w:val="single" w:sz="8" w:space="0" w:color="6E6E6E" w:themeColor="accent1"/>
          <w:insideV w:val="single" w:sz="8" w:space="0" w:color="6E6E6E" w:themeColor="accent1"/>
        </w:tcBorders>
      </w:tcPr>
    </w:tblStylePr>
  </w:style>
  <w:style w:type="table" w:styleId="LightGrid-Accent2">
    <w:name w:val="Light Grid Accent 2"/>
    <w:basedOn w:val="TableNormal"/>
    <w:uiPriority w:val="62"/>
    <w:rsid w:val="001222D2"/>
    <w:pPr>
      <w:spacing w:after="0" w:line="240" w:lineRule="auto"/>
    </w:pPr>
    <w:tblPr>
      <w:tblStyleRowBandSize w:val="1"/>
      <w:tblStyleColBandSize w:val="1"/>
      <w:tblBorders>
        <w:top w:val="single" w:sz="8" w:space="0" w:color="3F9D8A" w:themeColor="accent2"/>
        <w:left w:val="single" w:sz="8" w:space="0" w:color="3F9D8A" w:themeColor="accent2"/>
        <w:bottom w:val="single" w:sz="8" w:space="0" w:color="3F9D8A" w:themeColor="accent2"/>
        <w:right w:val="single" w:sz="8" w:space="0" w:color="3F9D8A" w:themeColor="accent2"/>
        <w:insideH w:val="single" w:sz="8" w:space="0" w:color="3F9D8A" w:themeColor="accent2"/>
        <w:insideV w:val="single" w:sz="8" w:space="0" w:color="3F9D8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F9D8A" w:themeColor="accent2"/>
          <w:left w:val="single" w:sz="8" w:space="0" w:color="3F9D8A" w:themeColor="accent2"/>
          <w:bottom w:val="single" w:sz="18" w:space="0" w:color="3F9D8A" w:themeColor="accent2"/>
          <w:right w:val="single" w:sz="8" w:space="0" w:color="3F9D8A" w:themeColor="accent2"/>
          <w:insideH w:val="nil"/>
          <w:insideV w:val="single" w:sz="8" w:space="0" w:color="3F9D8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9D8A" w:themeColor="accent2"/>
          <w:left w:val="single" w:sz="8" w:space="0" w:color="3F9D8A" w:themeColor="accent2"/>
          <w:bottom w:val="single" w:sz="8" w:space="0" w:color="3F9D8A" w:themeColor="accent2"/>
          <w:right w:val="single" w:sz="8" w:space="0" w:color="3F9D8A" w:themeColor="accent2"/>
          <w:insideH w:val="nil"/>
          <w:insideV w:val="single" w:sz="8" w:space="0" w:color="3F9D8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9D8A" w:themeColor="accent2"/>
          <w:left w:val="single" w:sz="8" w:space="0" w:color="3F9D8A" w:themeColor="accent2"/>
          <w:bottom w:val="single" w:sz="8" w:space="0" w:color="3F9D8A" w:themeColor="accent2"/>
          <w:right w:val="single" w:sz="8" w:space="0" w:color="3F9D8A" w:themeColor="accent2"/>
        </w:tcBorders>
      </w:tcPr>
    </w:tblStylePr>
    <w:tblStylePr w:type="band1Vert">
      <w:tblPr/>
      <w:tcPr>
        <w:tcBorders>
          <w:top w:val="single" w:sz="8" w:space="0" w:color="3F9D8A" w:themeColor="accent2"/>
          <w:left w:val="single" w:sz="8" w:space="0" w:color="3F9D8A" w:themeColor="accent2"/>
          <w:bottom w:val="single" w:sz="8" w:space="0" w:color="3F9D8A" w:themeColor="accent2"/>
          <w:right w:val="single" w:sz="8" w:space="0" w:color="3F9D8A" w:themeColor="accent2"/>
        </w:tcBorders>
        <w:shd w:val="clear" w:color="auto" w:fill="CBEAE4" w:themeFill="accent2" w:themeFillTint="3F"/>
      </w:tcPr>
    </w:tblStylePr>
    <w:tblStylePr w:type="band1Horz">
      <w:tblPr/>
      <w:tcPr>
        <w:tcBorders>
          <w:top w:val="single" w:sz="8" w:space="0" w:color="3F9D8A" w:themeColor="accent2"/>
          <w:left w:val="single" w:sz="8" w:space="0" w:color="3F9D8A" w:themeColor="accent2"/>
          <w:bottom w:val="single" w:sz="8" w:space="0" w:color="3F9D8A" w:themeColor="accent2"/>
          <w:right w:val="single" w:sz="8" w:space="0" w:color="3F9D8A" w:themeColor="accent2"/>
          <w:insideV w:val="single" w:sz="8" w:space="0" w:color="3F9D8A" w:themeColor="accent2"/>
        </w:tcBorders>
        <w:shd w:val="clear" w:color="auto" w:fill="CBEAE4" w:themeFill="accent2" w:themeFillTint="3F"/>
      </w:tcPr>
    </w:tblStylePr>
    <w:tblStylePr w:type="band2Horz">
      <w:tblPr/>
      <w:tcPr>
        <w:tcBorders>
          <w:top w:val="single" w:sz="8" w:space="0" w:color="3F9D8A" w:themeColor="accent2"/>
          <w:left w:val="single" w:sz="8" w:space="0" w:color="3F9D8A" w:themeColor="accent2"/>
          <w:bottom w:val="single" w:sz="8" w:space="0" w:color="3F9D8A" w:themeColor="accent2"/>
          <w:right w:val="single" w:sz="8" w:space="0" w:color="3F9D8A" w:themeColor="accent2"/>
          <w:insideV w:val="single" w:sz="8" w:space="0" w:color="3F9D8A" w:themeColor="accent2"/>
        </w:tcBorders>
      </w:tcPr>
    </w:tblStylePr>
  </w:style>
  <w:style w:type="table" w:styleId="LightGrid-Accent3">
    <w:name w:val="Light Grid Accent 3"/>
    <w:basedOn w:val="TableNormal"/>
    <w:uiPriority w:val="62"/>
    <w:rsid w:val="001222D2"/>
    <w:pPr>
      <w:spacing w:after="0" w:line="240" w:lineRule="auto"/>
    </w:pPr>
    <w:tblPr>
      <w:tblStyleRowBandSize w:val="1"/>
      <w:tblStyleColBandSize w:val="1"/>
      <w:tblBorders>
        <w:top w:val="single" w:sz="8" w:space="0" w:color="7C1389" w:themeColor="accent3"/>
        <w:left w:val="single" w:sz="8" w:space="0" w:color="7C1389" w:themeColor="accent3"/>
        <w:bottom w:val="single" w:sz="8" w:space="0" w:color="7C1389" w:themeColor="accent3"/>
        <w:right w:val="single" w:sz="8" w:space="0" w:color="7C1389" w:themeColor="accent3"/>
        <w:insideH w:val="single" w:sz="8" w:space="0" w:color="7C1389" w:themeColor="accent3"/>
        <w:insideV w:val="single" w:sz="8" w:space="0" w:color="7C138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1389" w:themeColor="accent3"/>
          <w:left w:val="single" w:sz="8" w:space="0" w:color="7C1389" w:themeColor="accent3"/>
          <w:bottom w:val="single" w:sz="18" w:space="0" w:color="7C1389" w:themeColor="accent3"/>
          <w:right w:val="single" w:sz="8" w:space="0" w:color="7C1389" w:themeColor="accent3"/>
          <w:insideH w:val="nil"/>
          <w:insideV w:val="single" w:sz="8" w:space="0" w:color="7C138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1389" w:themeColor="accent3"/>
          <w:left w:val="single" w:sz="8" w:space="0" w:color="7C1389" w:themeColor="accent3"/>
          <w:bottom w:val="single" w:sz="8" w:space="0" w:color="7C1389" w:themeColor="accent3"/>
          <w:right w:val="single" w:sz="8" w:space="0" w:color="7C1389" w:themeColor="accent3"/>
          <w:insideH w:val="nil"/>
          <w:insideV w:val="single" w:sz="8" w:space="0" w:color="7C138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1389" w:themeColor="accent3"/>
          <w:left w:val="single" w:sz="8" w:space="0" w:color="7C1389" w:themeColor="accent3"/>
          <w:bottom w:val="single" w:sz="8" w:space="0" w:color="7C1389" w:themeColor="accent3"/>
          <w:right w:val="single" w:sz="8" w:space="0" w:color="7C1389" w:themeColor="accent3"/>
        </w:tcBorders>
      </w:tcPr>
    </w:tblStylePr>
    <w:tblStylePr w:type="band1Vert">
      <w:tblPr/>
      <w:tcPr>
        <w:tcBorders>
          <w:top w:val="single" w:sz="8" w:space="0" w:color="7C1389" w:themeColor="accent3"/>
          <w:left w:val="single" w:sz="8" w:space="0" w:color="7C1389" w:themeColor="accent3"/>
          <w:bottom w:val="single" w:sz="8" w:space="0" w:color="7C1389" w:themeColor="accent3"/>
          <w:right w:val="single" w:sz="8" w:space="0" w:color="7C1389" w:themeColor="accent3"/>
        </w:tcBorders>
        <w:shd w:val="clear" w:color="auto" w:fill="ECB2F4" w:themeFill="accent3" w:themeFillTint="3F"/>
      </w:tcPr>
    </w:tblStylePr>
    <w:tblStylePr w:type="band1Horz">
      <w:tblPr/>
      <w:tcPr>
        <w:tcBorders>
          <w:top w:val="single" w:sz="8" w:space="0" w:color="7C1389" w:themeColor="accent3"/>
          <w:left w:val="single" w:sz="8" w:space="0" w:color="7C1389" w:themeColor="accent3"/>
          <w:bottom w:val="single" w:sz="8" w:space="0" w:color="7C1389" w:themeColor="accent3"/>
          <w:right w:val="single" w:sz="8" w:space="0" w:color="7C1389" w:themeColor="accent3"/>
          <w:insideV w:val="single" w:sz="8" w:space="0" w:color="7C1389" w:themeColor="accent3"/>
        </w:tcBorders>
        <w:shd w:val="clear" w:color="auto" w:fill="ECB2F4" w:themeFill="accent3" w:themeFillTint="3F"/>
      </w:tcPr>
    </w:tblStylePr>
    <w:tblStylePr w:type="band2Horz">
      <w:tblPr/>
      <w:tcPr>
        <w:tcBorders>
          <w:top w:val="single" w:sz="8" w:space="0" w:color="7C1389" w:themeColor="accent3"/>
          <w:left w:val="single" w:sz="8" w:space="0" w:color="7C1389" w:themeColor="accent3"/>
          <w:bottom w:val="single" w:sz="8" w:space="0" w:color="7C1389" w:themeColor="accent3"/>
          <w:right w:val="single" w:sz="8" w:space="0" w:color="7C1389" w:themeColor="accent3"/>
          <w:insideV w:val="single" w:sz="8" w:space="0" w:color="7C1389" w:themeColor="accent3"/>
        </w:tcBorders>
      </w:tcPr>
    </w:tblStylePr>
  </w:style>
  <w:style w:type="table" w:styleId="LightGrid-Accent4">
    <w:name w:val="Light Grid Accent 4"/>
    <w:basedOn w:val="TableNormal"/>
    <w:uiPriority w:val="62"/>
    <w:rsid w:val="001222D2"/>
    <w:pPr>
      <w:spacing w:after="0" w:line="240" w:lineRule="auto"/>
    </w:pPr>
    <w:tblPr>
      <w:tblStyleRowBandSize w:val="1"/>
      <w:tblStyleColBandSize w:val="1"/>
      <w:tblBorders>
        <w:top w:val="single" w:sz="8" w:space="0" w:color="A37EC8" w:themeColor="accent4"/>
        <w:left w:val="single" w:sz="8" w:space="0" w:color="A37EC8" w:themeColor="accent4"/>
        <w:bottom w:val="single" w:sz="8" w:space="0" w:color="A37EC8" w:themeColor="accent4"/>
        <w:right w:val="single" w:sz="8" w:space="0" w:color="A37EC8" w:themeColor="accent4"/>
        <w:insideH w:val="single" w:sz="8" w:space="0" w:color="A37EC8" w:themeColor="accent4"/>
        <w:insideV w:val="single" w:sz="8" w:space="0" w:color="A37EC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7EC8" w:themeColor="accent4"/>
          <w:left w:val="single" w:sz="8" w:space="0" w:color="A37EC8" w:themeColor="accent4"/>
          <w:bottom w:val="single" w:sz="18" w:space="0" w:color="A37EC8" w:themeColor="accent4"/>
          <w:right w:val="single" w:sz="8" w:space="0" w:color="A37EC8" w:themeColor="accent4"/>
          <w:insideH w:val="nil"/>
          <w:insideV w:val="single" w:sz="8" w:space="0" w:color="A37EC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7EC8" w:themeColor="accent4"/>
          <w:left w:val="single" w:sz="8" w:space="0" w:color="A37EC8" w:themeColor="accent4"/>
          <w:bottom w:val="single" w:sz="8" w:space="0" w:color="A37EC8" w:themeColor="accent4"/>
          <w:right w:val="single" w:sz="8" w:space="0" w:color="A37EC8" w:themeColor="accent4"/>
          <w:insideH w:val="nil"/>
          <w:insideV w:val="single" w:sz="8" w:space="0" w:color="A37EC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7EC8" w:themeColor="accent4"/>
          <w:left w:val="single" w:sz="8" w:space="0" w:color="A37EC8" w:themeColor="accent4"/>
          <w:bottom w:val="single" w:sz="8" w:space="0" w:color="A37EC8" w:themeColor="accent4"/>
          <w:right w:val="single" w:sz="8" w:space="0" w:color="A37EC8" w:themeColor="accent4"/>
        </w:tcBorders>
      </w:tcPr>
    </w:tblStylePr>
    <w:tblStylePr w:type="band1Vert">
      <w:tblPr/>
      <w:tcPr>
        <w:tcBorders>
          <w:top w:val="single" w:sz="8" w:space="0" w:color="A37EC8" w:themeColor="accent4"/>
          <w:left w:val="single" w:sz="8" w:space="0" w:color="A37EC8" w:themeColor="accent4"/>
          <w:bottom w:val="single" w:sz="8" w:space="0" w:color="A37EC8" w:themeColor="accent4"/>
          <w:right w:val="single" w:sz="8" w:space="0" w:color="A37EC8" w:themeColor="accent4"/>
        </w:tcBorders>
        <w:shd w:val="clear" w:color="auto" w:fill="E8DEF1" w:themeFill="accent4" w:themeFillTint="3F"/>
      </w:tcPr>
    </w:tblStylePr>
    <w:tblStylePr w:type="band1Horz">
      <w:tblPr/>
      <w:tcPr>
        <w:tcBorders>
          <w:top w:val="single" w:sz="8" w:space="0" w:color="A37EC8" w:themeColor="accent4"/>
          <w:left w:val="single" w:sz="8" w:space="0" w:color="A37EC8" w:themeColor="accent4"/>
          <w:bottom w:val="single" w:sz="8" w:space="0" w:color="A37EC8" w:themeColor="accent4"/>
          <w:right w:val="single" w:sz="8" w:space="0" w:color="A37EC8" w:themeColor="accent4"/>
          <w:insideV w:val="single" w:sz="8" w:space="0" w:color="A37EC8" w:themeColor="accent4"/>
        </w:tcBorders>
        <w:shd w:val="clear" w:color="auto" w:fill="E8DEF1" w:themeFill="accent4" w:themeFillTint="3F"/>
      </w:tcPr>
    </w:tblStylePr>
    <w:tblStylePr w:type="band2Horz">
      <w:tblPr/>
      <w:tcPr>
        <w:tcBorders>
          <w:top w:val="single" w:sz="8" w:space="0" w:color="A37EC8" w:themeColor="accent4"/>
          <w:left w:val="single" w:sz="8" w:space="0" w:color="A37EC8" w:themeColor="accent4"/>
          <w:bottom w:val="single" w:sz="8" w:space="0" w:color="A37EC8" w:themeColor="accent4"/>
          <w:right w:val="single" w:sz="8" w:space="0" w:color="A37EC8" w:themeColor="accent4"/>
          <w:insideV w:val="single" w:sz="8" w:space="0" w:color="A37EC8" w:themeColor="accent4"/>
        </w:tcBorders>
      </w:tcPr>
    </w:tblStylePr>
  </w:style>
  <w:style w:type="table" w:styleId="LightGrid-Accent5">
    <w:name w:val="Light Grid Accent 5"/>
    <w:basedOn w:val="TableNormal"/>
    <w:uiPriority w:val="62"/>
    <w:rsid w:val="001222D2"/>
    <w:pPr>
      <w:spacing w:after="0" w:line="240" w:lineRule="auto"/>
    </w:pPr>
    <w:tblPr>
      <w:tblStyleRowBandSize w:val="1"/>
      <w:tblStyleColBandSize w:val="1"/>
      <w:tblBorders>
        <w:top w:val="single" w:sz="8" w:space="0" w:color="E09F00" w:themeColor="accent5"/>
        <w:left w:val="single" w:sz="8" w:space="0" w:color="E09F00" w:themeColor="accent5"/>
        <w:bottom w:val="single" w:sz="8" w:space="0" w:color="E09F00" w:themeColor="accent5"/>
        <w:right w:val="single" w:sz="8" w:space="0" w:color="E09F00" w:themeColor="accent5"/>
        <w:insideH w:val="single" w:sz="8" w:space="0" w:color="E09F00" w:themeColor="accent5"/>
        <w:insideV w:val="single" w:sz="8" w:space="0" w:color="E09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9F00" w:themeColor="accent5"/>
          <w:left w:val="single" w:sz="8" w:space="0" w:color="E09F00" w:themeColor="accent5"/>
          <w:bottom w:val="single" w:sz="18" w:space="0" w:color="E09F00" w:themeColor="accent5"/>
          <w:right w:val="single" w:sz="8" w:space="0" w:color="E09F00" w:themeColor="accent5"/>
          <w:insideH w:val="nil"/>
          <w:insideV w:val="single" w:sz="8" w:space="0" w:color="E09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9F00" w:themeColor="accent5"/>
          <w:left w:val="single" w:sz="8" w:space="0" w:color="E09F00" w:themeColor="accent5"/>
          <w:bottom w:val="single" w:sz="8" w:space="0" w:color="E09F00" w:themeColor="accent5"/>
          <w:right w:val="single" w:sz="8" w:space="0" w:color="E09F00" w:themeColor="accent5"/>
          <w:insideH w:val="nil"/>
          <w:insideV w:val="single" w:sz="8" w:space="0" w:color="E09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9F00" w:themeColor="accent5"/>
          <w:left w:val="single" w:sz="8" w:space="0" w:color="E09F00" w:themeColor="accent5"/>
          <w:bottom w:val="single" w:sz="8" w:space="0" w:color="E09F00" w:themeColor="accent5"/>
          <w:right w:val="single" w:sz="8" w:space="0" w:color="E09F00" w:themeColor="accent5"/>
        </w:tcBorders>
      </w:tcPr>
    </w:tblStylePr>
    <w:tblStylePr w:type="band1Vert">
      <w:tblPr/>
      <w:tcPr>
        <w:tcBorders>
          <w:top w:val="single" w:sz="8" w:space="0" w:color="E09F00" w:themeColor="accent5"/>
          <w:left w:val="single" w:sz="8" w:space="0" w:color="E09F00" w:themeColor="accent5"/>
          <w:bottom w:val="single" w:sz="8" w:space="0" w:color="E09F00" w:themeColor="accent5"/>
          <w:right w:val="single" w:sz="8" w:space="0" w:color="E09F00" w:themeColor="accent5"/>
        </w:tcBorders>
        <w:shd w:val="clear" w:color="auto" w:fill="FFEAB8" w:themeFill="accent5" w:themeFillTint="3F"/>
      </w:tcPr>
    </w:tblStylePr>
    <w:tblStylePr w:type="band1Horz">
      <w:tblPr/>
      <w:tcPr>
        <w:tcBorders>
          <w:top w:val="single" w:sz="8" w:space="0" w:color="E09F00" w:themeColor="accent5"/>
          <w:left w:val="single" w:sz="8" w:space="0" w:color="E09F00" w:themeColor="accent5"/>
          <w:bottom w:val="single" w:sz="8" w:space="0" w:color="E09F00" w:themeColor="accent5"/>
          <w:right w:val="single" w:sz="8" w:space="0" w:color="E09F00" w:themeColor="accent5"/>
          <w:insideV w:val="single" w:sz="8" w:space="0" w:color="E09F00" w:themeColor="accent5"/>
        </w:tcBorders>
        <w:shd w:val="clear" w:color="auto" w:fill="FFEAB8" w:themeFill="accent5" w:themeFillTint="3F"/>
      </w:tcPr>
    </w:tblStylePr>
    <w:tblStylePr w:type="band2Horz">
      <w:tblPr/>
      <w:tcPr>
        <w:tcBorders>
          <w:top w:val="single" w:sz="8" w:space="0" w:color="E09F00" w:themeColor="accent5"/>
          <w:left w:val="single" w:sz="8" w:space="0" w:color="E09F00" w:themeColor="accent5"/>
          <w:bottom w:val="single" w:sz="8" w:space="0" w:color="E09F00" w:themeColor="accent5"/>
          <w:right w:val="single" w:sz="8" w:space="0" w:color="E09F00" w:themeColor="accent5"/>
          <w:insideV w:val="single" w:sz="8" w:space="0" w:color="E09F00" w:themeColor="accent5"/>
        </w:tcBorders>
      </w:tcPr>
    </w:tblStylePr>
  </w:style>
  <w:style w:type="table" w:styleId="LightGrid-Accent6">
    <w:name w:val="Light Grid Accent 6"/>
    <w:basedOn w:val="TableNormal"/>
    <w:uiPriority w:val="62"/>
    <w:rsid w:val="001222D2"/>
    <w:pPr>
      <w:spacing w:after="0" w:line="240" w:lineRule="auto"/>
    </w:pPr>
    <w:tblPr>
      <w:tblStyleRowBandSize w:val="1"/>
      <w:tblStyleColBandSize w:val="1"/>
      <w:tblBorders>
        <w:top w:val="single" w:sz="8" w:space="0" w:color="003F2B" w:themeColor="accent6"/>
        <w:left w:val="single" w:sz="8" w:space="0" w:color="003F2B" w:themeColor="accent6"/>
        <w:bottom w:val="single" w:sz="8" w:space="0" w:color="003F2B" w:themeColor="accent6"/>
        <w:right w:val="single" w:sz="8" w:space="0" w:color="003F2B" w:themeColor="accent6"/>
        <w:insideH w:val="single" w:sz="8" w:space="0" w:color="003F2B" w:themeColor="accent6"/>
        <w:insideV w:val="single" w:sz="8" w:space="0" w:color="003F2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F2B" w:themeColor="accent6"/>
          <w:left w:val="single" w:sz="8" w:space="0" w:color="003F2B" w:themeColor="accent6"/>
          <w:bottom w:val="single" w:sz="18" w:space="0" w:color="003F2B" w:themeColor="accent6"/>
          <w:right w:val="single" w:sz="8" w:space="0" w:color="003F2B" w:themeColor="accent6"/>
          <w:insideH w:val="nil"/>
          <w:insideV w:val="single" w:sz="8" w:space="0" w:color="003F2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F2B" w:themeColor="accent6"/>
          <w:left w:val="single" w:sz="8" w:space="0" w:color="003F2B" w:themeColor="accent6"/>
          <w:bottom w:val="single" w:sz="8" w:space="0" w:color="003F2B" w:themeColor="accent6"/>
          <w:right w:val="single" w:sz="8" w:space="0" w:color="003F2B" w:themeColor="accent6"/>
          <w:insideH w:val="nil"/>
          <w:insideV w:val="single" w:sz="8" w:space="0" w:color="003F2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F2B" w:themeColor="accent6"/>
          <w:left w:val="single" w:sz="8" w:space="0" w:color="003F2B" w:themeColor="accent6"/>
          <w:bottom w:val="single" w:sz="8" w:space="0" w:color="003F2B" w:themeColor="accent6"/>
          <w:right w:val="single" w:sz="8" w:space="0" w:color="003F2B" w:themeColor="accent6"/>
        </w:tcBorders>
      </w:tcPr>
    </w:tblStylePr>
    <w:tblStylePr w:type="band1Vert">
      <w:tblPr/>
      <w:tcPr>
        <w:tcBorders>
          <w:top w:val="single" w:sz="8" w:space="0" w:color="003F2B" w:themeColor="accent6"/>
          <w:left w:val="single" w:sz="8" w:space="0" w:color="003F2B" w:themeColor="accent6"/>
          <w:bottom w:val="single" w:sz="8" w:space="0" w:color="003F2B" w:themeColor="accent6"/>
          <w:right w:val="single" w:sz="8" w:space="0" w:color="003F2B" w:themeColor="accent6"/>
        </w:tcBorders>
        <w:shd w:val="clear" w:color="auto" w:fill="90FFDB" w:themeFill="accent6" w:themeFillTint="3F"/>
      </w:tcPr>
    </w:tblStylePr>
    <w:tblStylePr w:type="band1Horz">
      <w:tblPr/>
      <w:tcPr>
        <w:tcBorders>
          <w:top w:val="single" w:sz="8" w:space="0" w:color="003F2B" w:themeColor="accent6"/>
          <w:left w:val="single" w:sz="8" w:space="0" w:color="003F2B" w:themeColor="accent6"/>
          <w:bottom w:val="single" w:sz="8" w:space="0" w:color="003F2B" w:themeColor="accent6"/>
          <w:right w:val="single" w:sz="8" w:space="0" w:color="003F2B" w:themeColor="accent6"/>
          <w:insideV w:val="single" w:sz="8" w:space="0" w:color="003F2B" w:themeColor="accent6"/>
        </w:tcBorders>
        <w:shd w:val="clear" w:color="auto" w:fill="90FFDB" w:themeFill="accent6" w:themeFillTint="3F"/>
      </w:tcPr>
    </w:tblStylePr>
    <w:tblStylePr w:type="band2Horz">
      <w:tblPr/>
      <w:tcPr>
        <w:tcBorders>
          <w:top w:val="single" w:sz="8" w:space="0" w:color="003F2B" w:themeColor="accent6"/>
          <w:left w:val="single" w:sz="8" w:space="0" w:color="003F2B" w:themeColor="accent6"/>
          <w:bottom w:val="single" w:sz="8" w:space="0" w:color="003F2B" w:themeColor="accent6"/>
          <w:right w:val="single" w:sz="8" w:space="0" w:color="003F2B" w:themeColor="accent6"/>
          <w:insideV w:val="single" w:sz="8" w:space="0" w:color="003F2B" w:themeColor="accent6"/>
        </w:tcBorders>
      </w:tcPr>
    </w:tblStylePr>
  </w:style>
  <w:style w:type="table" w:styleId="LightList">
    <w:name w:val="Light List"/>
    <w:basedOn w:val="TableNormal"/>
    <w:uiPriority w:val="61"/>
    <w:rsid w:val="001222D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222D2"/>
    <w:pPr>
      <w:spacing w:after="0" w:line="240" w:lineRule="auto"/>
    </w:pPr>
    <w:tblPr>
      <w:tblStyleRowBandSize w:val="1"/>
      <w:tblStyleColBandSize w:val="1"/>
      <w:tblBorders>
        <w:top w:val="single" w:sz="8" w:space="0" w:color="6E6E6E" w:themeColor="accent1"/>
        <w:left w:val="single" w:sz="8" w:space="0" w:color="6E6E6E" w:themeColor="accent1"/>
        <w:bottom w:val="single" w:sz="8" w:space="0" w:color="6E6E6E" w:themeColor="accent1"/>
        <w:right w:val="single" w:sz="8" w:space="0" w:color="6E6E6E" w:themeColor="accent1"/>
      </w:tblBorders>
    </w:tblPr>
    <w:tblStylePr w:type="firstRow">
      <w:pPr>
        <w:spacing w:before="0" w:after="0" w:line="240" w:lineRule="auto"/>
      </w:pPr>
      <w:rPr>
        <w:b/>
        <w:bCs/>
        <w:color w:val="FFFFFF" w:themeColor="background1"/>
      </w:rPr>
      <w:tblPr/>
      <w:tcPr>
        <w:shd w:val="clear" w:color="auto" w:fill="6E6E6E" w:themeFill="accent1"/>
      </w:tcPr>
    </w:tblStylePr>
    <w:tblStylePr w:type="lastRow">
      <w:pPr>
        <w:spacing w:before="0" w:after="0" w:line="240" w:lineRule="auto"/>
      </w:pPr>
      <w:rPr>
        <w:b/>
        <w:bCs/>
      </w:rPr>
      <w:tblPr/>
      <w:tcPr>
        <w:tcBorders>
          <w:top w:val="double" w:sz="6" w:space="0" w:color="6E6E6E" w:themeColor="accent1"/>
          <w:left w:val="single" w:sz="8" w:space="0" w:color="6E6E6E" w:themeColor="accent1"/>
          <w:bottom w:val="single" w:sz="8" w:space="0" w:color="6E6E6E" w:themeColor="accent1"/>
          <w:right w:val="single" w:sz="8" w:space="0" w:color="6E6E6E" w:themeColor="accent1"/>
        </w:tcBorders>
      </w:tcPr>
    </w:tblStylePr>
    <w:tblStylePr w:type="firstCol">
      <w:rPr>
        <w:b/>
        <w:bCs/>
      </w:rPr>
    </w:tblStylePr>
    <w:tblStylePr w:type="lastCol">
      <w:rPr>
        <w:b/>
        <w:bCs/>
      </w:rPr>
    </w:tblStylePr>
    <w:tblStylePr w:type="band1Vert">
      <w:tblPr/>
      <w:tcPr>
        <w:tcBorders>
          <w:top w:val="single" w:sz="8" w:space="0" w:color="6E6E6E" w:themeColor="accent1"/>
          <w:left w:val="single" w:sz="8" w:space="0" w:color="6E6E6E" w:themeColor="accent1"/>
          <w:bottom w:val="single" w:sz="8" w:space="0" w:color="6E6E6E" w:themeColor="accent1"/>
          <w:right w:val="single" w:sz="8" w:space="0" w:color="6E6E6E" w:themeColor="accent1"/>
        </w:tcBorders>
      </w:tcPr>
    </w:tblStylePr>
    <w:tblStylePr w:type="band1Horz">
      <w:tblPr/>
      <w:tcPr>
        <w:tcBorders>
          <w:top w:val="single" w:sz="8" w:space="0" w:color="6E6E6E" w:themeColor="accent1"/>
          <w:left w:val="single" w:sz="8" w:space="0" w:color="6E6E6E" w:themeColor="accent1"/>
          <w:bottom w:val="single" w:sz="8" w:space="0" w:color="6E6E6E" w:themeColor="accent1"/>
          <w:right w:val="single" w:sz="8" w:space="0" w:color="6E6E6E" w:themeColor="accent1"/>
        </w:tcBorders>
      </w:tcPr>
    </w:tblStylePr>
  </w:style>
  <w:style w:type="table" w:styleId="LightList-Accent2">
    <w:name w:val="Light List Accent 2"/>
    <w:basedOn w:val="TableNormal"/>
    <w:uiPriority w:val="61"/>
    <w:rsid w:val="001222D2"/>
    <w:pPr>
      <w:spacing w:after="0" w:line="240" w:lineRule="auto"/>
    </w:pPr>
    <w:tblPr>
      <w:tblStyleRowBandSize w:val="1"/>
      <w:tblStyleColBandSize w:val="1"/>
      <w:tblBorders>
        <w:top w:val="single" w:sz="8" w:space="0" w:color="3F9D8A" w:themeColor="accent2"/>
        <w:left w:val="single" w:sz="8" w:space="0" w:color="3F9D8A" w:themeColor="accent2"/>
        <w:bottom w:val="single" w:sz="8" w:space="0" w:color="3F9D8A" w:themeColor="accent2"/>
        <w:right w:val="single" w:sz="8" w:space="0" w:color="3F9D8A" w:themeColor="accent2"/>
      </w:tblBorders>
    </w:tblPr>
    <w:tblStylePr w:type="firstRow">
      <w:pPr>
        <w:spacing w:before="0" w:after="0" w:line="240" w:lineRule="auto"/>
      </w:pPr>
      <w:rPr>
        <w:b/>
        <w:bCs/>
        <w:color w:val="FFFFFF" w:themeColor="background1"/>
      </w:rPr>
      <w:tblPr/>
      <w:tcPr>
        <w:shd w:val="clear" w:color="auto" w:fill="3F9D8A" w:themeFill="accent2"/>
      </w:tcPr>
    </w:tblStylePr>
    <w:tblStylePr w:type="lastRow">
      <w:pPr>
        <w:spacing w:before="0" w:after="0" w:line="240" w:lineRule="auto"/>
      </w:pPr>
      <w:rPr>
        <w:b/>
        <w:bCs/>
      </w:rPr>
      <w:tblPr/>
      <w:tcPr>
        <w:tcBorders>
          <w:top w:val="double" w:sz="6" w:space="0" w:color="3F9D8A" w:themeColor="accent2"/>
          <w:left w:val="single" w:sz="8" w:space="0" w:color="3F9D8A" w:themeColor="accent2"/>
          <w:bottom w:val="single" w:sz="8" w:space="0" w:color="3F9D8A" w:themeColor="accent2"/>
          <w:right w:val="single" w:sz="8" w:space="0" w:color="3F9D8A" w:themeColor="accent2"/>
        </w:tcBorders>
      </w:tcPr>
    </w:tblStylePr>
    <w:tblStylePr w:type="firstCol">
      <w:rPr>
        <w:b/>
        <w:bCs/>
      </w:rPr>
    </w:tblStylePr>
    <w:tblStylePr w:type="lastCol">
      <w:rPr>
        <w:b/>
        <w:bCs/>
      </w:rPr>
    </w:tblStylePr>
    <w:tblStylePr w:type="band1Vert">
      <w:tblPr/>
      <w:tcPr>
        <w:tcBorders>
          <w:top w:val="single" w:sz="8" w:space="0" w:color="3F9D8A" w:themeColor="accent2"/>
          <w:left w:val="single" w:sz="8" w:space="0" w:color="3F9D8A" w:themeColor="accent2"/>
          <w:bottom w:val="single" w:sz="8" w:space="0" w:color="3F9D8A" w:themeColor="accent2"/>
          <w:right w:val="single" w:sz="8" w:space="0" w:color="3F9D8A" w:themeColor="accent2"/>
        </w:tcBorders>
      </w:tcPr>
    </w:tblStylePr>
    <w:tblStylePr w:type="band1Horz">
      <w:tblPr/>
      <w:tcPr>
        <w:tcBorders>
          <w:top w:val="single" w:sz="8" w:space="0" w:color="3F9D8A" w:themeColor="accent2"/>
          <w:left w:val="single" w:sz="8" w:space="0" w:color="3F9D8A" w:themeColor="accent2"/>
          <w:bottom w:val="single" w:sz="8" w:space="0" w:color="3F9D8A" w:themeColor="accent2"/>
          <w:right w:val="single" w:sz="8" w:space="0" w:color="3F9D8A" w:themeColor="accent2"/>
        </w:tcBorders>
      </w:tcPr>
    </w:tblStylePr>
  </w:style>
  <w:style w:type="table" w:styleId="LightList-Accent3">
    <w:name w:val="Light List Accent 3"/>
    <w:basedOn w:val="TableNormal"/>
    <w:uiPriority w:val="61"/>
    <w:rsid w:val="001222D2"/>
    <w:pPr>
      <w:spacing w:after="0" w:line="240" w:lineRule="auto"/>
    </w:pPr>
    <w:tblPr>
      <w:tblStyleRowBandSize w:val="1"/>
      <w:tblStyleColBandSize w:val="1"/>
      <w:tblBorders>
        <w:top w:val="single" w:sz="8" w:space="0" w:color="7C1389" w:themeColor="accent3"/>
        <w:left w:val="single" w:sz="8" w:space="0" w:color="7C1389" w:themeColor="accent3"/>
        <w:bottom w:val="single" w:sz="8" w:space="0" w:color="7C1389" w:themeColor="accent3"/>
        <w:right w:val="single" w:sz="8" w:space="0" w:color="7C1389" w:themeColor="accent3"/>
      </w:tblBorders>
    </w:tblPr>
    <w:tblStylePr w:type="firstRow">
      <w:pPr>
        <w:spacing w:before="0" w:after="0" w:line="240" w:lineRule="auto"/>
      </w:pPr>
      <w:rPr>
        <w:b/>
        <w:bCs/>
        <w:color w:val="FFFFFF" w:themeColor="background1"/>
      </w:rPr>
      <w:tblPr/>
      <w:tcPr>
        <w:shd w:val="clear" w:color="auto" w:fill="7C1389" w:themeFill="accent3"/>
      </w:tcPr>
    </w:tblStylePr>
    <w:tblStylePr w:type="lastRow">
      <w:pPr>
        <w:spacing w:before="0" w:after="0" w:line="240" w:lineRule="auto"/>
      </w:pPr>
      <w:rPr>
        <w:b/>
        <w:bCs/>
      </w:rPr>
      <w:tblPr/>
      <w:tcPr>
        <w:tcBorders>
          <w:top w:val="double" w:sz="6" w:space="0" w:color="7C1389" w:themeColor="accent3"/>
          <w:left w:val="single" w:sz="8" w:space="0" w:color="7C1389" w:themeColor="accent3"/>
          <w:bottom w:val="single" w:sz="8" w:space="0" w:color="7C1389" w:themeColor="accent3"/>
          <w:right w:val="single" w:sz="8" w:space="0" w:color="7C1389" w:themeColor="accent3"/>
        </w:tcBorders>
      </w:tcPr>
    </w:tblStylePr>
    <w:tblStylePr w:type="firstCol">
      <w:rPr>
        <w:b/>
        <w:bCs/>
      </w:rPr>
    </w:tblStylePr>
    <w:tblStylePr w:type="lastCol">
      <w:rPr>
        <w:b/>
        <w:bCs/>
      </w:rPr>
    </w:tblStylePr>
    <w:tblStylePr w:type="band1Vert">
      <w:tblPr/>
      <w:tcPr>
        <w:tcBorders>
          <w:top w:val="single" w:sz="8" w:space="0" w:color="7C1389" w:themeColor="accent3"/>
          <w:left w:val="single" w:sz="8" w:space="0" w:color="7C1389" w:themeColor="accent3"/>
          <w:bottom w:val="single" w:sz="8" w:space="0" w:color="7C1389" w:themeColor="accent3"/>
          <w:right w:val="single" w:sz="8" w:space="0" w:color="7C1389" w:themeColor="accent3"/>
        </w:tcBorders>
      </w:tcPr>
    </w:tblStylePr>
    <w:tblStylePr w:type="band1Horz">
      <w:tblPr/>
      <w:tcPr>
        <w:tcBorders>
          <w:top w:val="single" w:sz="8" w:space="0" w:color="7C1389" w:themeColor="accent3"/>
          <w:left w:val="single" w:sz="8" w:space="0" w:color="7C1389" w:themeColor="accent3"/>
          <w:bottom w:val="single" w:sz="8" w:space="0" w:color="7C1389" w:themeColor="accent3"/>
          <w:right w:val="single" w:sz="8" w:space="0" w:color="7C1389" w:themeColor="accent3"/>
        </w:tcBorders>
      </w:tcPr>
    </w:tblStylePr>
  </w:style>
  <w:style w:type="table" w:styleId="LightList-Accent4">
    <w:name w:val="Light List Accent 4"/>
    <w:basedOn w:val="TableNormal"/>
    <w:uiPriority w:val="61"/>
    <w:rsid w:val="001222D2"/>
    <w:pPr>
      <w:spacing w:after="0" w:line="240" w:lineRule="auto"/>
    </w:pPr>
    <w:tblPr>
      <w:tblStyleRowBandSize w:val="1"/>
      <w:tblStyleColBandSize w:val="1"/>
      <w:tblBorders>
        <w:top w:val="single" w:sz="8" w:space="0" w:color="A37EC8" w:themeColor="accent4"/>
        <w:left w:val="single" w:sz="8" w:space="0" w:color="A37EC8" w:themeColor="accent4"/>
        <w:bottom w:val="single" w:sz="8" w:space="0" w:color="A37EC8" w:themeColor="accent4"/>
        <w:right w:val="single" w:sz="8" w:space="0" w:color="A37EC8" w:themeColor="accent4"/>
      </w:tblBorders>
    </w:tblPr>
    <w:tblStylePr w:type="firstRow">
      <w:pPr>
        <w:spacing w:before="0" w:after="0" w:line="240" w:lineRule="auto"/>
      </w:pPr>
      <w:rPr>
        <w:b/>
        <w:bCs/>
        <w:color w:val="FFFFFF" w:themeColor="background1"/>
      </w:rPr>
      <w:tblPr/>
      <w:tcPr>
        <w:shd w:val="clear" w:color="auto" w:fill="A37EC8" w:themeFill="accent4"/>
      </w:tcPr>
    </w:tblStylePr>
    <w:tblStylePr w:type="lastRow">
      <w:pPr>
        <w:spacing w:before="0" w:after="0" w:line="240" w:lineRule="auto"/>
      </w:pPr>
      <w:rPr>
        <w:b/>
        <w:bCs/>
      </w:rPr>
      <w:tblPr/>
      <w:tcPr>
        <w:tcBorders>
          <w:top w:val="double" w:sz="6" w:space="0" w:color="A37EC8" w:themeColor="accent4"/>
          <w:left w:val="single" w:sz="8" w:space="0" w:color="A37EC8" w:themeColor="accent4"/>
          <w:bottom w:val="single" w:sz="8" w:space="0" w:color="A37EC8" w:themeColor="accent4"/>
          <w:right w:val="single" w:sz="8" w:space="0" w:color="A37EC8" w:themeColor="accent4"/>
        </w:tcBorders>
      </w:tcPr>
    </w:tblStylePr>
    <w:tblStylePr w:type="firstCol">
      <w:rPr>
        <w:b/>
        <w:bCs/>
      </w:rPr>
    </w:tblStylePr>
    <w:tblStylePr w:type="lastCol">
      <w:rPr>
        <w:b/>
        <w:bCs/>
      </w:rPr>
    </w:tblStylePr>
    <w:tblStylePr w:type="band1Vert">
      <w:tblPr/>
      <w:tcPr>
        <w:tcBorders>
          <w:top w:val="single" w:sz="8" w:space="0" w:color="A37EC8" w:themeColor="accent4"/>
          <w:left w:val="single" w:sz="8" w:space="0" w:color="A37EC8" w:themeColor="accent4"/>
          <w:bottom w:val="single" w:sz="8" w:space="0" w:color="A37EC8" w:themeColor="accent4"/>
          <w:right w:val="single" w:sz="8" w:space="0" w:color="A37EC8" w:themeColor="accent4"/>
        </w:tcBorders>
      </w:tcPr>
    </w:tblStylePr>
    <w:tblStylePr w:type="band1Horz">
      <w:tblPr/>
      <w:tcPr>
        <w:tcBorders>
          <w:top w:val="single" w:sz="8" w:space="0" w:color="A37EC8" w:themeColor="accent4"/>
          <w:left w:val="single" w:sz="8" w:space="0" w:color="A37EC8" w:themeColor="accent4"/>
          <w:bottom w:val="single" w:sz="8" w:space="0" w:color="A37EC8" w:themeColor="accent4"/>
          <w:right w:val="single" w:sz="8" w:space="0" w:color="A37EC8" w:themeColor="accent4"/>
        </w:tcBorders>
      </w:tcPr>
    </w:tblStylePr>
  </w:style>
  <w:style w:type="table" w:styleId="LightList-Accent5">
    <w:name w:val="Light List Accent 5"/>
    <w:basedOn w:val="TableNormal"/>
    <w:uiPriority w:val="61"/>
    <w:rsid w:val="001222D2"/>
    <w:pPr>
      <w:spacing w:after="0" w:line="240" w:lineRule="auto"/>
    </w:pPr>
    <w:tblPr>
      <w:tblStyleRowBandSize w:val="1"/>
      <w:tblStyleColBandSize w:val="1"/>
      <w:tblBorders>
        <w:top w:val="single" w:sz="8" w:space="0" w:color="E09F00" w:themeColor="accent5"/>
        <w:left w:val="single" w:sz="8" w:space="0" w:color="E09F00" w:themeColor="accent5"/>
        <w:bottom w:val="single" w:sz="8" w:space="0" w:color="E09F00" w:themeColor="accent5"/>
        <w:right w:val="single" w:sz="8" w:space="0" w:color="E09F00" w:themeColor="accent5"/>
      </w:tblBorders>
    </w:tblPr>
    <w:tblStylePr w:type="firstRow">
      <w:pPr>
        <w:spacing w:before="0" w:after="0" w:line="240" w:lineRule="auto"/>
      </w:pPr>
      <w:rPr>
        <w:b/>
        <w:bCs/>
        <w:color w:val="FFFFFF" w:themeColor="background1"/>
      </w:rPr>
      <w:tblPr/>
      <w:tcPr>
        <w:shd w:val="clear" w:color="auto" w:fill="E09F00" w:themeFill="accent5"/>
      </w:tcPr>
    </w:tblStylePr>
    <w:tblStylePr w:type="lastRow">
      <w:pPr>
        <w:spacing w:before="0" w:after="0" w:line="240" w:lineRule="auto"/>
      </w:pPr>
      <w:rPr>
        <w:b/>
        <w:bCs/>
      </w:rPr>
      <w:tblPr/>
      <w:tcPr>
        <w:tcBorders>
          <w:top w:val="double" w:sz="6" w:space="0" w:color="E09F00" w:themeColor="accent5"/>
          <w:left w:val="single" w:sz="8" w:space="0" w:color="E09F00" w:themeColor="accent5"/>
          <w:bottom w:val="single" w:sz="8" w:space="0" w:color="E09F00" w:themeColor="accent5"/>
          <w:right w:val="single" w:sz="8" w:space="0" w:color="E09F00" w:themeColor="accent5"/>
        </w:tcBorders>
      </w:tcPr>
    </w:tblStylePr>
    <w:tblStylePr w:type="firstCol">
      <w:rPr>
        <w:b/>
        <w:bCs/>
      </w:rPr>
    </w:tblStylePr>
    <w:tblStylePr w:type="lastCol">
      <w:rPr>
        <w:b/>
        <w:bCs/>
      </w:rPr>
    </w:tblStylePr>
    <w:tblStylePr w:type="band1Vert">
      <w:tblPr/>
      <w:tcPr>
        <w:tcBorders>
          <w:top w:val="single" w:sz="8" w:space="0" w:color="E09F00" w:themeColor="accent5"/>
          <w:left w:val="single" w:sz="8" w:space="0" w:color="E09F00" w:themeColor="accent5"/>
          <w:bottom w:val="single" w:sz="8" w:space="0" w:color="E09F00" w:themeColor="accent5"/>
          <w:right w:val="single" w:sz="8" w:space="0" w:color="E09F00" w:themeColor="accent5"/>
        </w:tcBorders>
      </w:tcPr>
    </w:tblStylePr>
    <w:tblStylePr w:type="band1Horz">
      <w:tblPr/>
      <w:tcPr>
        <w:tcBorders>
          <w:top w:val="single" w:sz="8" w:space="0" w:color="E09F00" w:themeColor="accent5"/>
          <w:left w:val="single" w:sz="8" w:space="0" w:color="E09F00" w:themeColor="accent5"/>
          <w:bottom w:val="single" w:sz="8" w:space="0" w:color="E09F00" w:themeColor="accent5"/>
          <w:right w:val="single" w:sz="8" w:space="0" w:color="E09F00" w:themeColor="accent5"/>
        </w:tcBorders>
      </w:tcPr>
    </w:tblStylePr>
  </w:style>
  <w:style w:type="table" w:styleId="LightList-Accent6">
    <w:name w:val="Light List Accent 6"/>
    <w:basedOn w:val="TableNormal"/>
    <w:uiPriority w:val="61"/>
    <w:rsid w:val="001222D2"/>
    <w:pPr>
      <w:spacing w:after="0" w:line="240" w:lineRule="auto"/>
    </w:pPr>
    <w:tblPr>
      <w:tblStyleRowBandSize w:val="1"/>
      <w:tblStyleColBandSize w:val="1"/>
      <w:tblBorders>
        <w:top w:val="single" w:sz="8" w:space="0" w:color="003F2B" w:themeColor="accent6"/>
        <w:left w:val="single" w:sz="8" w:space="0" w:color="003F2B" w:themeColor="accent6"/>
        <w:bottom w:val="single" w:sz="8" w:space="0" w:color="003F2B" w:themeColor="accent6"/>
        <w:right w:val="single" w:sz="8" w:space="0" w:color="003F2B" w:themeColor="accent6"/>
      </w:tblBorders>
    </w:tblPr>
    <w:tblStylePr w:type="firstRow">
      <w:pPr>
        <w:spacing w:before="0" w:after="0" w:line="240" w:lineRule="auto"/>
      </w:pPr>
      <w:rPr>
        <w:b/>
        <w:bCs/>
        <w:color w:val="FFFFFF" w:themeColor="background1"/>
      </w:rPr>
      <w:tblPr/>
      <w:tcPr>
        <w:shd w:val="clear" w:color="auto" w:fill="003F2B" w:themeFill="accent6"/>
      </w:tcPr>
    </w:tblStylePr>
    <w:tblStylePr w:type="lastRow">
      <w:pPr>
        <w:spacing w:before="0" w:after="0" w:line="240" w:lineRule="auto"/>
      </w:pPr>
      <w:rPr>
        <w:b/>
        <w:bCs/>
      </w:rPr>
      <w:tblPr/>
      <w:tcPr>
        <w:tcBorders>
          <w:top w:val="double" w:sz="6" w:space="0" w:color="003F2B" w:themeColor="accent6"/>
          <w:left w:val="single" w:sz="8" w:space="0" w:color="003F2B" w:themeColor="accent6"/>
          <w:bottom w:val="single" w:sz="8" w:space="0" w:color="003F2B" w:themeColor="accent6"/>
          <w:right w:val="single" w:sz="8" w:space="0" w:color="003F2B" w:themeColor="accent6"/>
        </w:tcBorders>
      </w:tcPr>
    </w:tblStylePr>
    <w:tblStylePr w:type="firstCol">
      <w:rPr>
        <w:b/>
        <w:bCs/>
      </w:rPr>
    </w:tblStylePr>
    <w:tblStylePr w:type="lastCol">
      <w:rPr>
        <w:b/>
        <w:bCs/>
      </w:rPr>
    </w:tblStylePr>
    <w:tblStylePr w:type="band1Vert">
      <w:tblPr/>
      <w:tcPr>
        <w:tcBorders>
          <w:top w:val="single" w:sz="8" w:space="0" w:color="003F2B" w:themeColor="accent6"/>
          <w:left w:val="single" w:sz="8" w:space="0" w:color="003F2B" w:themeColor="accent6"/>
          <w:bottom w:val="single" w:sz="8" w:space="0" w:color="003F2B" w:themeColor="accent6"/>
          <w:right w:val="single" w:sz="8" w:space="0" w:color="003F2B" w:themeColor="accent6"/>
        </w:tcBorders>
      </w:tcPr>
    </w:tblStylePr>
    <w:tblStylePr w:type="band1Horz">
      <w:tblPr/>
      <w:tcPr>
        <w:tcBorders>
          <w:top w:val="single" w:sz="8" w:space="0" w:color="003F2B" w:themeColor="accent6"/>
          <w:left w:val="single" w:sz="8" w:space="0" w:color="003F2B" w:themeColor="accent6"/>
          <w:bottom w:val="single" w:sz="8" w:space="0" w:color="003F2B" w:themeColor="accent6"/>
          <w:right w:val="single" w:sz="8" w:space="0" w:color="003F2B" w:themeColor="accent6"/>
        </w:tcBorders>
      </w:tcPr>
    </w:tblStylePr>
  </w:style>
  <w:style w:type="table" w:styleId="LightShading">
    <w:name w:val="Light Shading"/>
    <w:basedOn w:val="TableNormal"/>
    <w:uiPriority w:val="60"/>
    <w:rsid w:val="001222D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1222D2"/>
    <w:pPr>
      <w:spacing w:after="0" w:line="240" w:lineRule="auto"/>
    </w:pPr>
    <w:rPr>
      <w:color w:val="525252" w:themeColor="accent1" w:themeShade="BF"/>
    </w:rPr>
    <w:tblPr>
      <w:tblStyleRowBandSize w:val="1"/>
      <w:tblStyleColBandSize w:val="1"/>
      <w:tblBorders>
        <w:top w:val="single" w:sz="8" w:space="0" w:color="6E6E6E" w:themeColor="accent1"/>
        <w:bottom w:val="single" w:sz="8" w:space="0" w:color="6E6E6E" w:themeColor="accent1"/>
      </w:tblBorders>
    </w:tblPr>
    <w:tblStylePr w:type="firstRow">
      <w:pPr>
        <w:spacing w:before="0" w:after="0" w:line="240" w:lineRule="auto"/>
      </w:pPr>
      <w:rPr>
        <w:b/>
        <w:bCs/>
      </w:rPr>
      <w:tblPr/>
      <w:tcPr>
        <w:tcBorders>
          <w:top w:val="single" w:sz="8" w:space="0" w:color="6E6E6E" w:themeColor="accent1"/>
          <w:left w:val="nil"/>
          <w:bottom w:val="single" w:sz="8" w:space="0" w:color="6E6E6E" w:themeColor="accent1"/>
          <w:right w:val="nil"/>
          <w:insideH w:val="nil"/>
          <w:insideV w:val="nil"/>
        </w:tcBorders>
      </w:tcPr>
    </w:tblStylePr>
    <w:tblStylePr w:type="lastRow">
      <w:pPr>
        <w:spacing w:before="0" w:after="0" w:line="240" w:lineRule="auto"/>
      </w:pPr>
      <w:rPr>
        <w:b/>
        <w:bCs/>
      </w:rPr>
      <w:tblPr/>
      <w:tcPr>
        <w:tcBorders>
          <w:top w:val="single" w:sz="8" w:space="0" w:color="6E6E6E" w:themeColor="accent1"/>
          <w:left w:val="nil"/>
          <w:bottom w:val="single" w:sz="8" w:space="0" w:color="6E6E6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BDB" w:themeFill="accent1" w:themeFillTint="3F"/>
      </w:tcPr>
    </w:tblStylePr>
    <w:tblStylePr w:type="band1Horz">
      <w:tblPr/>
      <w:tcPr>
        <w:tcBorders>
          <w:left w:val="nil"/>
          <w:right w:val="nil"/>
          <w:insideH w:val="nil"/>
          <w:insideV w:val="nil"/>
        </w:tcBorders>
        <w:shd w:val="clear" w:color="auto" w:fill="DBDBDB" w:themeFill="accent1" w:themeFillTint="3F"/>
      </w:tcPr>
    </w:tblStylePr>
  </w:style>
  <w:style w:type="table" w:styleId="LightShading-Accent2">
    <w:name w:val="Light Shading Accent 2"/>
    <w:basedOn w:val="TableNormal"/>
    <w:uiPriority w:val="60"/>
    <w:rsid w:val="001222D2"/>
    <w:pPr>
      <w:spacing w:after="0" w:line="240" w:lineRule="auto"/>
    </w:pPr>
    <w:rPr>
      <w:color w:val="2F7567" w:themeColor="accent2" w:themeShade="BF"/>
    </w:rPr>
    <w:tblPr>
      <w:tblStyleRowBandSize w:val="1"/>
      <w:tblStyleColBandSize w:val="1"/>
      <w:tblBorders>
        <w:top w:val="single" w:sz="8" w:space="0" w:color="3F9D8A" w:themeColor="accent2"/>
        <w:bottom w:val="single" w:sz="8" w:space="0" w:color="3F9D8A" w:themeColor="accent2"/>
      </w:tblBorders>
    </w:tblPr>
    <w:tblStylePr w:type="firstRow">
      <w:pPr>
        <w:spacing w:before="0" w:after="0" w:line="240" w:lineRule="auto"/>
      </w:pPr>
      <w:rPr>
        <w:b/>
        <w:bCs/>
      </w:rPr>
      <w:tblPr/>
      <w:tcPr>
        <w:tcBorders>
          <w:top w:val="single" w:sz="8" w:space="0" w:color="3F9D8A" w:themeColor="accent2"/>
          <w:left w:val="nil"/>
          <w:bottom w:val="single" w:sz="8" w:space="0" w:color="3F9D8A" w:themeColor="accent2"/>
          <w:right w:val="nil"/>
          <w:insideH w:val="nil"/>
          <w:insideV w:val="nil"/>
        </w:tcBorders>
      </w:tcPr>
    </w:tblStylePr>
    <w:tblStylePr w:type="lastRow">
      <w:pPr>
        <w:spacing w:before="0" w:after="0" w:line="240" w:lineRule="auto"/>
      </w:pPr>
      <w:rPr>
        <w:b/>
        <w:bCs/>
      </w:rPr>
      <w:tblPr/>
      <w:tcPr>
        <w:tcBorders>
          <w:top w:val="single" w:sz="8" w:space="0" w:color="3F9D8A" w:themeColor="accent2"/>
          <w:left w:val="nil"/>
          <w:bottom w:val="single" w:sz="8" w:space="0" w:color="3F9D8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AE4" w:themeFill="accent2" w:themeFillTint="3F"/>
      </w:tcPr>
    </w:tblStylePr>
    <w:tblStylePr w:type="band1Horz">
      <w:tblPr/>
      <w:tcPr>
        <w:tcBorders>
          <w:left w:val="nil"/>
          <w:right w:val="nil"/>
          <w:insideH w:val="nil"/>
          <w:insideV w:val="nil"/>
        </w:tcBorders>
        <w:shd w:val="clear" w:color="auto" w:fill="CBEAE4" w:themeFill="accent2" w:themeFillTint="3F"/>
      </w:tcPr>
    </w:tblStylePr>
  </w:style>
  <w:style w:type="table" w:styleId="LightShading-Accent3">
    <w:name w:val="Light Shading Accent 3"/>
    <w:basedOn w:val="TableNormal"/>
    <w:uiPriority w:val="60"/>
    <w:rsid w:val="001222D2"/>
    <w:pPr>
      <w:spacing w:after="0" w:line="240" w:lineRule="auto"/>
    </w:pPr>
    <w:rPr>
      <w:color w:val="5C0E66" w:themeColor="accent3" w:themeShade="BF"/>
    </w:rPr>
    <w:tblPr>
      <w:tblStyleRowBandSize w:val="1"/>
      <w:tblStyleColBandSize w:val="1"/>
      <w:tblBorders>
        <w:top w:val="single" w:sz="8" w:space="0" w:color="7C1389" w:themeColor="accent3"/>
        <w:bottom w:val="single" w:sz="8" w:space="0" w:color="7C1389" w:themeColor="accent3"/>
      </w:tblBorders>
    </w:tblPr>
    <w:tblStylePr w:type="firstRow">
      <w:pPr>
        <w:spacing w:before="0" w:after="0" w:line="240" w:lineRule="auto"/>
      </w:pPr>
      <w:rPr>
        <w:b/>
        <w:bCs/>
      </w:rPr>
      <w:tblPr/>
      <w:tcPr>
        <w:tcBorders>
          <w:top w:val="single" w:sz="8" w:space="0" w:color="7C1389" w:themeColor="accent3"/>
          <w:left w:val="nil"/>
          <w:bottom w:val="single" w:sz="8" w:space="0" w:color="7C1389" w:themeColor="accent3"/>
          <w:right w:val="nil"/>
          <w:insideH w:val="nil"/>
          <w:insideV w:val="nil"/>
        </w:tcBorders>
      </w:tcPr>
    </w:tblStylePr>
    <w:tblStylePr w:type="lastRow">
      <w:pPr>
        <w:spacing w:before="0" w:after="0" w:line="240" w:lineRule="auto"/>
      </w:pPr>
      <w:rPr>
        <w:b/>
        <w:bCs/>
      </w:rPr>
      <w:tblPr/>
      <w:tcPr>
        <w:tcBorders>
          <w:top w:val="single" w:sz="8" w:space="0" w:color="7C1389" w:themeColor="accent3"/>
          <w:left w:val="nil"/>
          <w:bottom w:val="single" w:sz="8" w:space="0" w:color="7C138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B2F4" w:themeFill="accent3" w:themeFillTint="3F"/>
      </w:tcPr>
    </w:tblStylePr>
    <w:tblStylePr w:type="band1Horz">
      <w:tblPr/>
      <w:tcPr>
        <w:tcBorders>
          <w:left w:val="nil"/>
          <w:right w:val="nil"/>
          <w:insideH w:val="nil"/>
          <w:insideV w:val="nil"/>
        </w:tcBorders>
        <w:shd w:val="clear" w:color="auto" w:fill="ECB2F4" w:themeFill="accent3" w:themeFillTint="3F"/>
      </w:tcPr>
    </w:tblStylePr>
  </w:style>
  <w:style w:type="table" w:styleId="LightShading-Accent4">
    <w:name w:val="Light Shading Accent 4"/>
    <w:basedOn w:val="TableNormal"/>
    <w:uiPriority w:val="60"/>
    <w:rsid w:val="001222D2"/>
    <w:pPr>
      <w:spacing w:after="0" w:line="240" w:lineRule="auto"/>
    </w:pPr>
    <w:rPr>
      <w:color w:val="7949AB" w:themeColor="accent4" w:themeShade="BF"/>
    </w:rPr>
    <w:tblPr>
      <w:tblStyleRowBandSize w:val="1"/>
      <w:tblStyleColBandSize w:val="1"/>
      <w:tblBorders>
        <w:top w:val="single" w:sz="8" w:space="0" w:color="A37EC8" w:themeColor="accent4"/>
        <w:bottom w:val="single" w:sz="8" w:space="0" w:color="A37EC8" w:themeColor="accent4"/>
      </w:tblBorders>
    </w:tblPr>
    <w:tblStylePr w:type="firstRow">
      <w:pPr>
        <w:spacing w:before="0" w:after="0" w:line="240" w:lineRule="auto"/>
      </w:pPr>
      <w:rPr>
        <w:b/>
        <w:bCs/>
      </w:rPr>
      <w:tblPr/>
      <w:tcPr>
        <w:tcBorders>
          <w:top w:val="single" w:sz="8" w:space="0" w:color="A37EC8" w:themeColor="accent4"/>
          <w:left w:val="nil"/>
          <w:bottom w:val="single" w:sz="8" w:space="0" w:color="A37EC8" w:themeColor="accent4"/>
          <w:right w:val="nil"/>
          <w:insideH w:val="nil"/>
          <w:insideV w:val="nil"/>
        </w:tcBorders>
      </w:tcPr>
    </w:tblStylePr>
    <w:tblStylePr w:type="lastRow">
      <w:pPr>
        <w:spacing w:before="0" w:after="0" w:line="240" w:lineRule="auto"/>
      </w:pPr>
      <w:rPr>
        <w:b/>
        <w:bCs/>
      </w:rPr>
      <w:tblPr/>
      <w:tcPr>
        <w:tcBorders>
          <w:top w:val="single" w:sz="8" w:space="0" w:color="A37EC8" w:themeColor="accent4"/>
          <w:left w:val="nil"/>
          <w:bottom w:val="single" w:sz="8" w:space="0" w:color="A37EC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DEF1" w:themeFill="accent4" w:themeFillTint="3F"/>
      </w:tcPr>
    </w:tblStylePr>
    <w:tblStylePr w:type="band1Horz">
      <w:tblPr/>
      <w:tcPr>
        <w:tcBorders>
          <w:left w:val="nil"/>
          <w:right w:val="nil"/>
          <w:insideH w:val="nil"/>
          <w:insideV w:val="nil"/>
        </w:tcBorders>
        <w:shd w:val="clear" w:color="auto" w:fill="E8DEF1" w:themeFill="accent4" w:themeFillTint="3F"/>
      </w:tcPr>
    </w:tblStylePr>
  </w:style>
  <w:style w:type="table" w:styleId="LightShading-Accent5">
    <w:name w:val="Light Shading Accent 5"/>
    <w:basedOn w:val="TableNormal"/>
    <w:uiPriority w:val="60"/>
    <w:rsid w:val="001222D2"/>
    <w:pPr>
      <w:spacing w:after="0" w:line="240" w:lineRule="auto"/>
    </w:pPr>
    <w:rPr>
      <w:color w:val="A77700" w:themeColor="accent5" w:themeShade="BF"/>
    </w:rPr>
    <w:tblPr>
      <w:tblStyleRowBandSize w:val="1"/>
      <w:tblStyleColBandSize w:val="1"/>
      <w:tblBorders>
        <w:top w:val="single" w:sz="8" w:space="0" w:color="E09F00" w:themeColor="accent5"/>
        <w:bottom w:val="single" w:sz="8" w:space="0" w:color="E09F00" w:themeColor="accent5"/>
      </w:tblBorders>
    </w:tblPr>
    <w:tblStylePr w:type="firstRow">
      <w:pPr>
        <w:spacing w:before="0" w:after="0" w:line="240" w:lineRule="auto"/>
      </w:pPr>
      <w:rPr>
        <w:b/>
        <w:bCs/>
      </w:rPr>
      <w:tblPr/>
      <w:tcPr>
        <w:tcBorders>
          <w:top w:val="single" w:sz="8" w:space="0" w:color="E09F00" w:themeColor="accent5"/>
          <w:left w:val="nil"/>
          <w:bottom w:val="single" w:sz="8" w:space="0" w:color="E09F00" w:themeColor="accent5"/>
          <w:right w:val="nil"/>
          <w:insideH w:val="nil"/>
          <w:insideV w:val="nil"/>
        </w:tcBorders>
      </w:tcPr>
    </w:tblStylePr>
    <w:tblStylePr w:type="lastRow">
      <w:pPr>
        <w:spacing w:before="0" w:after="0" w:line="240" w:lineRule="auto"/>
      </w:pPr>
      <w:rPr>
        <w:b/>
        <w:bCs/>
      </w:rPr>
      <w:tblPr/>
      <w:tcPr>
        <w:tcBorders>
          <w:top w:val="single" w:sz="8" w:space="0" w:color="E09F00" w:themeColor="accent5"/>
          <w:left w:val="nil"/>
          <w:bottom w:val="single" w:sz="8" w:space="0" w:color="E09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AB8" w:themeFill="accent5" w:themeFillTint="3F"/>
      </w:tcPr>
    </w:tblStylePr>
    <w:tblStylePr w:type="band1Horz">
      <w:tblPr/>
      <w:tcPr>
        <w:tcBorders>
          <w:left w:val="nil"/>
          <w:right w:val="nil"/>
          <w:insideH w:val="nil"/>
          <w:insideV w:val="nil"/>
        </w:tcBorders>
        <w:shd w:val="clear" w:color="auto" w:fill="FFEAB8" w:themeFill="accent5" w:themeFillTint="3F"/>
      </w:tcPr>
    </w:tblStylePr>
  </w:style>
  <w:style w:type="table" w:styleId="LightShading-Accent6">
    <w:name w:val="Light Shading Accent 6"/>
    <w:basedOn w:val="TableNormal"/>
    <w:uiPriority w:val="60"/>
    <w:rsid w:val="001222D2"/>
    <w:pPr>
      <w:spacing w:after="0" w:line="240" w:lineRule="auto"/>
    </w:pPr>
    <w:rPr>
      <w:color w:val="002F20" w:themeColor="accent6" w:themeShade="BF"/>
    </w:rPr>
    <w:tblPr>
      <w:tblStyleRowBandSize w:val="1"/>
      <w:tblStyleColBandSize w:val="1"/>
      <w:tblBorders>
        <w:top w:val="single" w:sz="8" w:space="0" w:color="003F2B" w:themeColor="accent6"/>
        <w:bottom w:val="single" w:sz="8" w:space="0" w:color="003F2B" w:themeColor="accent6"/>
      </w:tblBorders>
    </w:tblPr>
    <w:tblStylePr w:type="firstRow">
      <w:pPr>
        <w:spacing w:before="0" w:after="0" w:line="240" w:lineRule="auto"/>
      </w:pPr>
      <w:rPr>
        <w:b/>
        <w:bCs/>
      </w:rPr>
      <w:tblPr/>
      <w:tcPr>
        <w:tcBorders>
          <w:top w:val="single" w:sz="8" w:space="0" w:color="003F2B" w:themeColor="accent6"/>
          <w:left w:val="nil"/>
          <w:bottom w:val="single" w:sz="8" w:space="0" w:color="003F2B" w:themeColor="accent6"/>
          <w:right w:val="nil"/>
          <w:insideH w:val="nil"/>
          <w:insideV w:val="nil"/>
        </w:tcBorders>
      </w:tcPr>
    </w:tblStylePr>
    <w:tblStylePr w:type="lastRow">
      <w:pPr>
        <w:spacing w:before="0" w:after="0" w:line="240" w:lineRule="auto"/>
      </w:pPr>
      <w:rPr>
        <w:b/>
        <w:bCs/>
      </w:rPr>
      <w:tblPr/>
      <w:tcPr>
        <w:tcBorders>
          <w:top w:val="single" w:sz="8" w:space="0" w:color="003F2B" w:themeColor="accent6"/>
          <w:left w:val="nil"/>
          <w:bottom w:val="single" w:sz="8" w:space="0" w:color="003F2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FFDB" w:themeFill="accent6" w:themeFillTint="3F"/>
      </w:tcPr>
    </w:tblStylePr>
    <w:tblStylePr w:type="band1Horz">
      <w:tblPr/>
      <w:tcPr>
        <w:tcBorders>
          <w:left w:val="nil"/>
          <w:right w:val="nil"/>
          <w:insideH w:val="nil"/>
          <w:insideV w:val="nil"/>
        </w:tcBorders>
        <w:shd w:val="clear" w:color="auto" w:fill="90FFDB" w:themeFill="accent6" w:themeFillTint="3F"/>
      </w:tcPr>
    </w:tblStylePr>
  </w:style>
  <w:style w:type="character" w:styleId="LineNumber">
    <w:name w:val="line number"/>
    <w:basedOn w:val="DefaultParagraphFont"/>
    <w:uiPriority w:val="99"/>
    <w:semiHidden/>
    <w:unhideWhenUsed/>
    <w:rsid w:val="001222D2"/>
  </w:style>
  <w:style w:type="paragraph" w:styleId="List">
    <w:name w:val="List"/>
    <w:basedOn w:val="Normal"/>
    <w:uiPriority w:val="99"/>
    <w:semiHidden/>
    <w:unhideWhenUsed/>
    <w:rsid w:val="001222D2"/>
    <w:pPr>
      <w:ind w:left="283" w:hanging="283"/>
      <w:contextualSpacing/>
    </w:pPr>
  </w:style>
  <w:style w:type="paragraph" w:styleId="List2">
    <w:name w:val="List 2"/>
    <w:basedOn w:val="Normal"/>
    <w:uiPriority w:val="99"/>
    <w:semiHidden/>
    <w:unhideWhenUsed/>
    <w:rsid w:val="001222D2"/>
    <w:pPr>
      <w:ind w:left="566" w:hanging="283"/>
      <w:contextualSpacing/>
    </w:pPr>
  </w:style>
  <w:style w:type="paragraph" w:styleId="List3">
    <w:name w:val="List 3"/>
    <w:basedOn w:val="Normal"/>
    <w:uiPriority w:val="99"/>
    <w:semiHidden/>
    <w:unhideWhenUsed/>
    <w:rsid w:val="001222D2"/>
    <w:pPr>
      <w:ind w:left="849" w:hanging="283"/>
      <w:contextualSpacing/>
    </w:pPr>
  </w:style>
  <w:style w:type="paragraph" w:styleId="List4">
    <w:name w:val="List 4"/>
    <w:basedOn w:val="Normal"/>
    <w:uiPriority w:val="99"/>
    <w:semiHidden/>
    <w:unhideWhenUsed/>
    <w:rsid w:val="001222D2"/>
    <w:pPr>
      <w:ind w:left="1132" w:hanging="283"/>
      <w:contextualSpacing/>
    </w:pPr>
  </w:style>
  <w:style w:type="paragraph" w:styleId="List5">
    <w:name w:val="List 5"/>
    <w:basedOn w:val="Normal"/>
    <w:uiPriority w:val="99"/>
    <w:semiHidden/>
    <w:unhideWhenUsed/>
    <w:rsid w:val="001222D2"/>
    <w:pPr>
      <w:ind w:left="1415" w:hanging="283"/>
      <w:contextualSpacing/>
    </w:pPr>
  </w:style>
  <w:style w:type="paragraph" w:styleId="ListBullet">
    <w:name w:val="List Bullet"/>
    <w:basedOn w:val="Normal"/>
    <w:uiPriority w:val="99"/>
    <w:semiHidden/>
    <w:unhideWhenUsed/>
    <w:rsid w:val="001222D2"/>
    <w:pPr>
      <w:numPr>
        <w:numId w:val="22"/>
      </w:numPr>
      <w:contextualSpacing/>
    </w:pPr>
  </w:style>
  <w:style w:type="paragraph" w:styleId="ListBullet2">
    <w:name w:val="List Bullet 2"/>
    <w:basedOn w:val="Normal"/>
    <w:uiPriority w:val="99"/>
    <w:semiHidden/>
    <w:unhideWhenUsed/>
    <w:rsid w:val="001222D2"/>
    <w:pPr>
      <w:numPr>
        <w:numId w:val="23"/>
      </w:numPr>
      <w:contextualSpacing/>
    </w:pPr>
  </w:style>
  <w:style w:type="paragraph" w:styleId="ListBullet3">
    <w:name w:val="List Bullet 3"/>
    <w:basedOn w:val="Normal"/>
    <w:uiPriority w:val="99"/>
    <w:semiHidden/>
    <w:unhideWhenUsed/>
    <w:rsid w:val="001222D2"/>
    <w:pPr>
      <w:numPr>
        <w:numId w:val="24"/>
      </w:numPr>
      <w:contextualSpacing/>
    </w:pPr>
  </w:style>
  <w:style w:type="paragraph" w:styleId="ListBullet4">
    <w:name w:val="List Bullet 4"/>
    <w:basedOn w:val="Normal"/>
    <w:uiPriority w:val="99"/>
    <w:semiHidden/>
    <w:unhideWhenUsed/>
    <w:rsid w:val="001222D2"/>
    <w:pPr>
      <w:numPr>
        <w:numId w:val="25"/>
      </w:numPr>
      <w:contextualSpacing/>
    </w:pPr>
  </w:style>
  <w:style w:type="paragraph" w:styleId="ListBullet5">
    <w:name w:val="List Bullet 5"/>
    <w:basedOn w:val="Normal"/>
    <w:uiPriority w:val="99"/>
    <w:semiHidden/>
    <w:unhideWhenUsed/>
    <w:rsid w:val="001222D2"/>
    <w:pPr>
      <w:numPr>
        <w:numId w:val="26"/>
      </w:numPr>
      <w:contextualSpacing/>
    </w:pPr>
  </w:style>
  <w:style w:type="paragraph" w:styleId="ListContinue">
    <w:name w:val="List Continue"/>
    <w:basedOn w:val="Normal"/>
    <w:uiPriority w:val="99"/>
    <w:semiHidden/>
    <w:unhideWhenUsed/>
    <w:rsid w:val="001222D2"/>
    <w:pPr>
      <w:spacing w:after="120"/>
      <w:ind w:left="283"/>
      <w:contextualSpacing/>
    </w:pPr>
  </w:style>
  <w:style w:type="paragraph" w:styleId="ListContinue2">
    <w:name w:val="List Continue 2"/>
    <w:basedOn w:val="Normal"/>
    <w:uiPriority w:val="99"/>
    <w:semiHidden/>
    <w:unhideWhenUsed/>
    <w:rsid w:val="001222D2"/>
    <w:pPr>
      <w:spacing w:after="120"/>
      <w:ind w:left="566"/>
      <w:contextualSpacing/>
    </w:pPr>
  </w:style>
  <w:style w:type="paragraph" w:styleId="ListContinue3">
    <w:name w:val="List Continue 3"/>
    <w:basedOn w:val="Normal"/>
    <w:uiPriority w:val="99"/>
    <w:semiHidden/>
    <w:unhideWhenUsed/>
    <w:rsid w:val="001222D2"/>
    <w:pPr>
      <w:spacing w:after="120"/>
      <w:ind w:left="849"/>
      <w:contextualSpacing/>
    </w:pPr>
  </w:style>
  <w:style w:type="paragraph" w:styleId="ListContinue4">
    <w:name w:val="List Continue 4"/>
    <w:basedOn w:val="Normal"/>
    <w:uiPriority w:val="99"/>
    <w:semiHidden/>
    <w:unhideWhenUsed/>
    <w:rsid w:val="001222D2"/>
    <w:pPr>
      <w:spacing w:after="120"/>
      <w:ind w:left="1132"/>
      <w:contextualSpacing/>
    </w:pPr>
  </w:style>
  <w:style w:type="paragraph" w:styleId="ListContinue5">
    <w:name w:val="List Continue 5"/>
    <w:basedOn w:val="Normal"/>
    <w:uiPriority w:val="99"/>
    <w:semiHidden/>
    <w:unhideWhenUsed/>
    <w:rsid w:val="001222D2"/>
    <w:pPr>
      <w:spacing w:after="120"/>
      <w:ind w:left="1415"/>
      <w:contextualSpacing/>
    </w:pPr>
  </w:style>
  <w:style w:type="paragraph" w:styleId="ListNumber">
    <w:name w:val="List Number"/>
    <w:basedOn w:val="Normal"/>
    <w:uiPriority w:val="99"/>
    <w:semiHidden/>
    <w:unhideWhenUsed/>
    <w:rsid w:val="001222D2"/>
    <w:pPr>
      <w:numPr>
        <w:numId w:val="27"/>
      </w:numPr>
      <w:contextualSpacing/>
    </w:pPr>
  </w:style>
  <w:style w:type="paragraph" w:styleId="ListNumber2">
    <w:name w:val="List Number 2"/>
    <w:basedOn w:val="Normal"/>
    <w:uiPriority w:val="99"/>
    <w:semiHidden/>
    <w:unhideWhenUsed/>
    <w:rsid w:val="001222D2"/>
    <w:pPr>
      <w:numPr>
        <w:numId w:val="28"/>
      </w:numPr>
      <w:contextualSpacing/>
    </w:pPr>
  </w:style>
  <w:style w:type="paragraph" w:styleId="ListNumber3">
    <w:name w:val="List Number 3"/>
    <w:basedOn w:val="Normal"/>
    <w:uiPriority w:val="99"/>
    <w:semiHidden/>
    <w:unhideWhenUsed/>
    <w:rsid w:val="001222D2"/>
    <w:pPr>
      <w:numPr>
        <w:numId w:val="29"/>
      </w:numPr>
      <w:contextualSpacing/>
    </w:pPr>
  </w:style>
  <w:style w:type="paragraph" w:styleId="ListNumber4">
    <w:name w:val="List Number 4"/>
    <w:basedOn w:val="Normal"/>
    <w:uiPriority w:val="99"/>
    <w:semiHidden/>
    <w:unhideWhenUsed/>
    <w:rsid w:val="001222D2"/>
    <w:pPr>
      <w:numPr>
        <w:numId w:val="30"/>
      </w:numPr>
      <w:contextualSpacing/>
    </w:pPr>
  </w:style>
  <w:style w:type="paragraph" w:styleId="ListNumber5">
    <w:name w:val="List Number 5"/>
    <w:basedOn w:val="Normal"/>
    <w:uiPriority w:val="99"/>
    <w:semiHidden/>
    <w:unhideWhenUsed/>
    <w:rsid w:val="001222D2"/>
    <w:pPr>
      <w:numPr>
        <w:numId w:val="31"/>
      </w:numPr>
      <w:contextualSpacing/>
    </w:pPr>
  </w:style>
  <w:style w:type="paragraph" w:styleId="MacroText">
    <w:name w:val="macro"/>
    <w:link w:val="MacroTextChar"/>
    <w:uiPriority w:val="99"/>
    <w:semiHidden/>
    <w:unhideWhenUsed/>
    <w:rsid w:val="001222D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1222D2"/>
    <w:rPr>
      <w:rFonts w:ascii="Consolas" w:hAnsi="Consolas"/>
      <w:sz w:val="20"/>
      <w:szCs w:val="20"/>
    </w:rPr>
  </w:style>
  <w:style w:type="table" w:styleId="MediumGrid1">
    <w:name w:val="Medium Grid 1"/>
    <w:basedOn w:val="TableNormal"/>
    <w:uiPriority w:val="67"/>
    <w:rsid w:val="001222D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1222D2"/>
    <w:pPr>
      <w:spacing w:after="0" w:line="240" w:lineRule="auto"/>
    </w:pPr>
    <w:tblPr>
      <w:tblStyleRowBandSize w:val="1"/>
      <w:tblStyleColBandSize w:val="1"/>
      <w:tblBorders>
        <w:top w:val="single" w:sz="8" w:space="0" w:color="929292" w:themeColor="accent1" w:themeTint="BF"/>
        <w:left w:val="single" w:sz="8" w:space="0" w:color="929292" w:themeColor="accent1" w:themeTint="BF"/>
        <w:bottom w:val="single" w:sz="8" w:space="0" w:color="929292" w:themeColor="accent1" w:themeTint="BF"/>
        <w:right w:val="single" w:sz="8" w:space="0" w:color="929292" w:themeColor="accent1" w:themeTint="BF"/>
        <w:insideH w:val="single" w:sz="8" w:space="0" w:color="929292" w:themeColor="accent1" w:themeTint="BF"/>
        <w:insideV w:val="single" w:sz="8" w:space="0" w:color="929292" w:themeColor="accent1" w:themeTint="BF"/>
      </w:tblBorders>
    </w:tblPr>
    <w:tcPr>
      <w:shd w:val="clear" w:color="auto" w:fill="DBDBDB" w:themeFill="accent1" w:themeFillTint="3F"/>
    </w:tcPr>
    <w:tblStylePr w:type="firstRow">
      <w:rPr>
        <w:b/>
        <w:bCs/>
      </w:rPr>
    </w:tblStylePr>
    <w:tblStylePr w:type="lastRow">
      <w:rPr>
        <w:b/>
        <w:bCs/>
      </w:rPr>
      <w:tblPr/>
      <w:tcPr>
        <w:tcBorders>
          <w:top w:val="single" w:sz="18" w:space="0" w:color="929292" w:themeColor="accent1" w:themeTint="BF"/>
        </w:tcBorders>
      </w:tcPr>
    </w:tblStylePr>
    <w:tblStylePr w:type="firstCol">
      <w:rPr>
        <w:b/>
        <w:bCs/>
      </w:rPr>
    </w:tblStylePr>
    <w:tblStylePr w:type="lastCol">
      <w:rPr>
        <w:b/>
        <w:bCs/>
      </w:rPr>
    </w:tblStylePr>
    <w:tblStylePr w:type="band1Vert">
      <w:tblPr/>
      <w:tcPr>
        <w:shd w:val="clear" w:color="auto" w:fill="B6B6B6" w:themeFill="accent1" w:themeFillTint="7F"/>
      </w:tcPr>
    </w:tblStylePr>
    <w:tblStylePr w:type="band1Horz">
      <w:tblPr/>
      <w:tcPr>
        <w:shd w:val="clear" w:color="auto" w:fill="B6B6B6" w:themeFill="accent1" w:themeFillTint="7F"/>
      </w:tcPr>
    </w:tblStylePr>
  </w:style>
  <w:style w:type="table" w:styleId="MediumGrid1-Accent2">
    <w:name w:val="Medium Grid 1 Accent 2"/>
    <w:basedOn w:val="TableNormal"/>
    <w:uiPriority w:val="67"/>
    <w:rsid w:val="001222D2"/>
    <w:pPr>
      <w:spacing w:after="0" w:line="240" w:lineRule="auto"/>
    </w:pPr>
    <w:tblPr>
      <w:tblStyleRowBandSize w:val="1"/>
      <w:tblStyleColBandSize w:val="1"/>
      <w:tblBorders>
        <w:top w:val="single" w:sz="8" w:space="0" w:color="63C0AD" w:themeColor="accent2" w:themeTint="BF"/>
        <w:left w:val="single" w:sz="8" w:space="0" w:color="63C0AD" w:themeColor="accent2" w:themeTint="BF"/>
        <w:bottom w:val="single" w:sz="8" w:space="0" w:color="63C0AD" w:themeColor="accent2" w:themeTint="BF"/>
        <w:right w:val="single" w:sz="8" w:space="0" w:color="63C0AD" w:themeColor="accent2" w:themeTint="BF"/>
        <w:insideH w:val="single" w:sz="8" w:space="0" w:color="63C0AD" w:themeColor="accent2" w:themeTint="BF"/>
        <w:insideV w:val="single" w:sz="8" w:space="0" w:color="63C0AD" w:themeColor="accent2" w:themeTint="BF"/>
      </w:tblBorders>
    </w:tblPr>
    <w:tcPr>
      <w:shd w:val="clear" w:color="auto" w:fill="CBEAE4" w:themeFill="accent2" w:themeFillTint="3F"/>
    </w:tcPr>
    <w:tblStylePr w:type="firstRow">
      <w:rPr>
        <w:b/>
        <w:bCs/>
      </w:rPr>
    </w:tblStylePr>
    <w:tblStylePr w:type="lastRow">
      <w:rPr>
        <w:b/>
        <w:bCs/>
      </w:rPr>
      <w:tblPr/>
      <w:tcPr>
        <w:tcBorders>
          <w:top w:val="single" w:sz="18" w:space="0" w:color="63C0AD" w:themeColor="accent2" w:themeTint="BF"/>
        </w:tcBorders>
      </w:tcPr>
    </w:tblStylePr>
    <w:tblStylePr w:type="firstCol">
      <w:rPr>
        <w:b/>
        <w:bCs/>
      </w:rPr>
    </w:tblStylePr>
    <w:tblStylePr w:type="lastCol">
      <w:rPr>
        <w:b/>
        <w:bCs/>
      </w:rPr>
    </w:tblStylePr>
    <w:tblStylePr w:type="band1Vert">
      <w:tblPr/>
      <w:tcPr>
        <w:shd w:val="clear" w:color="auto" w:fill="97D5C9" w:themeFill="accent2" w:themeFillTint="7F"/>
      </w:tcPr>
    </w:tblStylePr>
    <w:tblStylePr w:type="band1Horz">
      <w:tblPr/>
      <w:tcPr>
        <w:shd w:val="clear" w:color="auto" w:fill="97D5C9" w:themeFill="accent2" w:themeFillTint="7F"/>
      </w:tcPr>
    </w:tblStylePr>
  </w:style>
  <w:style w:type="table" w:styleId="MediumGrid1-Accent3">
    <w:name w:val="Medium Grid 1 Accent 3"/>
    <w:basedOn w:val="TableNormal"/>
    <w:uiPriority w:val="67"/>
    <w:rsid w:val="001222D2"/>
    <w:pPr>
      <w:spacing w:after="0" w:line="240" w:lineRule="auto"/>
    </w:pPr>
    <w:tblPr>
      <w:tblStyleRowBandSize w:val="1"/>
      <w:tblStyleColBandSize w:val="1"/>
      <w:tblBorders>
        <w:top w:val="single" w:sz="8" w:space="0" w:color="C11DD6" w:themeColor="accent3" w:themeTint="BF"/>
        <w:left w:val="single" w:sz="8" w:space="0" w:color="C11DD6" w:themeColor="accent3" w:themeTint="BF"/>
        <w:bottom w:val="single" w:sz="8" w:space="0" w:color="C11DD6" w:themeColor="accent3" w:themeTint="BF"/>
        <w:right w:val="single" w:sz="8" w:space="0" w:color="C11DD6" w:themeColor="accent3" w:themeTint="BF"/>
        <w:insideH w:val="single" w:sz="8" w:space="0" w:color="C11DD6" w:themeColor="accent3" w:themeTint="BF"/>
        <w:insideV w:val="single" w:sz="8" w:space="0" w:color="C11DD6" w:themeColor="accent3" w:themeTint="BF"/>
      </w:tblBorders>
    </w:tblPr>
    <w:tcPr>
      <w:shd w:val="clear" w:color="auto" w:fill="ECB2F4" w:themeFill="accent3" w:themeFillTint="3F"/>
    </w:tcPr>
    <w:tblStylePr w:type="firstRow">
      <w:rPr>
        <w:b/>
        <w:bCs/>
      </w:rPr>
    </w:tblStylePr>
    <w:tblStylePr w:type="lastRow">
      <w:rPr>
        <w:b/>
        <w:bCs/>
      </w:rPr>
      <w:tblPr/>
      <w:tcPr>
        <w:tcBorders>
          <w:top w:val="single" w:sz="18" w:space="0" w:color="C11DD6" w:themeColor="accent3" w:themeTint="BF"/>
        </w:tcBorders>
      </w:tcPr>
    </w:tblStylePr>
    <w:tblStylePr w:type="firstCol">
      <w:rPr>
        <w:b/>
        <w:bCs/>
      </w:rPr>
    </w:tblStylePr>
    <w:tblStylePr w:type="lastCol">
      <w:rPr>
        <w:b/>
        <w:bCs/>
      </w:rPr>
    </w:tblStylePr>
    <w:tblStylePr w:type="band1Vert">
      <w:tblPr/>
      <w:tcPr>
        <w:shd w:val="clear" w:color="auto" w:fill="DA64E9" w:themeFill="accent3" w:themeFillTint="7F"/>
      </w:tcPr>
    </w:tblStylePr>
    <w:tblStylePr w:type="band1Horz">
      <w:tblPr/>
      <w:tcPr>
        <w:shd w:val="clear" w:color="auto" w:fill="DA64E9" w:themeFill="accent3" w:themeFillTint="7F"/>
      </w:tcPr>
    </w:tblStylePr>
  </w:style>
  <w:style w:type="table" w:styleId="MediumGrid1-Accent4">
    <w:name w:val="Medium Grid 1 Accent 4"/>
    <w:basedOn w:val="TableNormal"/>
    <w:uiPriority w:val="67"/>
    <w:rsid w:val="001222D2"/>
    <w:pPr>
      <w:spacing w:after="0" w:line="240" w:lineRule="auto"/>
    </w:pPr>
    <w:tblPr>
      <w:tblStyleRowBandSize w:val="1"/>
      <w:tblStyleColBandSize w:val="1"/>
      <w:tblBorders>
        <w:top w:val="single" w:sz="8" w:space="0" w:color="B99ED5" w:themeColor="accent4" w:themeTint="BF"/>
        <w:left w:val="single" w:sz="8" w:space="0" w:color="B99ED5" w:themeColor="accent4" w:themeTint="BF"/>
        <w:bottom w:val="single" w:sz="8" w:space="0" w:color="B99ED5" w:themeColor="accent4" w:themeTint="BF"/>
        <w:right w:val="single" w:sz="8" w:space="0" w:color="B99ED5" w:themeColor="accent4" w:themeTint="BF"/>
        <w:insideH w:val="single" w:sz="8" w:space="0" w:color="B99ED5" w:themeColor="accent4" w:themeTint="BF"/>
        <w:insideV w:val="single" w:sz="8" w:space="0" w:color="B99ED5" w:themeColor="accent4" w:themeTint="BF"/>
      </w:tblBorders>
    </w:tblPr>
    <w:tcPr>
      <w:shd w:val="clear" w:color="auto" w:fill="E8DEF1" w:themeFill="accent4" w:themeFillTint="3F"/>
    </w:tcPr>
    <w:tblStylePr w:type="firstRow">
      <w:rPr>
        <w:b/>
        <w:bCs/>
      </w:rPr>
    </w:tblStylePr>
    <w:tblStylePr w:type="lastRow">
      <w:rPr>
        <w:b/>
        <w:bCs/>
      </w:rPr>
      <w:tblPr/>
      <w:tcPr>
        <w:tcBorders>
          <w:top w:val="single" w:sz="18" w:space="0" w:color="B99ED5" w:themeColor="accent4" w:themeTint="BF"/>
        </w:tcBorders>
      </w:tcPr>
    </w:tblStylePr>
    <w:tblStylePr w:type="firstCol">
      <w:rPr>
        <w:b/>
        <w:bCs/>
      </w:rPr>
    </w:tblStylePr>
    <w:tblStylePr w:type="lastCol">
      <w:rPr>
        <w:b/>
        <w:bCs/>
      </w:rPr>
    </w:tblStylePr>
    <w:tblStylePr w:type="band1Vert">
      <w:tblPr/>
      <w:tcPr>
        <w:shd w:val="clear" w:color="auto" w:fill="D1BEE3" w:themeFill="accent4" w:themeFillTint="7F"/>
      </w:tcPr>
    </w:tblStylePr>
    <w:tblStylePr w:type="band1Horz">
      <w:tblPr/>
      <w:tcPr>
        <w:shd w:val="clear" w:color="auto" w:fill="D1BEE3" w:themeFill="accent4" w:themeFillTint="7F"/>
      </w:tcPr>
    </w:tblStylePr>
  </w:style>
  <w:style w:type="table" w:styleId="MediumGrid1-Accent5">
    <w:name w:val="Medium Grid 1 Accent 5"/>
    <w:basedOn w:val="TableNormal"/>
    <w:uiPriority w:val="67"/>
    <w:rsid w:val="001222D2"/>
    <w:pPr>
      <w:spacing w:after="0" w:line="240" w:lineRule="auto"/>
    </w:pPr>
    <w:tblPr>
      <w:tblStyleRowBandSize w:val="1"/>
      <w:tblStyleColBandSize w:val="1"/>
      <w:tblBorders>
        <w:top w:val="single" w:sz="8" w:space="0" w:color="FFC028" w:themeColor="accent5" w:themeTint="BF"/>
        <w:left w:val="single" w:sz="8" w:space="0" w:color="FFC028" w:themeColor="accent5" w:themeTint="BF"/>
        <w:bottom w:val="single" w:sz="8" w:space="0" w:color="FFC028" w:themeColor="accent5" w:themeTint="BF"/>
        <w:right w:val="single" w:sz="8" w:space="0" w:color="FFC028" w:themeColor="accent5" w:themeTint="BF"/>
        <w:insideH w:val="single" w:sz="8" w:space="0" w:color="FFC028" w:themeColor="accent5" w:themeTint="BF"/>
        <w:insideV w:val="single" w:sz="8" w:space="0" w:color="FFC028" w:themeColor="accent5" w:themeTint="BF"/>
      </w:tblBorders>
    </w:tblPr>
    <w:tcPr>
      <w:shd w:val="clear" w:color="auto" w:fill="FFEAB8" w:themeFill="accent5" w:themeFillTint="3F"/>
    </w:tcPr>
    <w:tblStylePr w:type="firstRow">
      <w:rPr>
        <w:b/>
        <w:bCs/>
      </w:rPr>
    </w:tblStylePr>
    <w:tblStylePr w:type="lastRow">
      <w:rPr>
        <w:b/>
        <w:bCs/>
      </w:rPr>
      <w:tblPr/>
      <w:tcPr>
        <w:tcBorders>
          <w:top w:val="single" w:sz="18" w:space="0" w:color="FFC028" w:themeColor="accent5" w:themeTint="BF"/>
        </w:tcBorders>
      </w:tcPr>
    </w:tblStylePr>
    <w:tblStylePr w:type="firstCol">
      <w:rPr>
        <w:b/>
        <w:bCs/>
      </w:rPr>
    </w:tblStylePr>
    <w:tblStylePr w:type="lastCol">
      <w:rPr>
        <w:b/>
        <w:bCs/>
      </w:rPr>
    </w:tblStylePr>
    <w:tblStylePr w:type="band1Vert">
      <w:tblPr/>
      <w:tcPr>
        <w:shd w:val="clear" w:color="auto" w:fill="FFD570" w:themeFill="accent5" w:themeFillTint="7F"/>
      </w:tcPr>
    </w:tblStylePr>
    <w:tblStylePr w:type="band1Horz">
      <w:tblPr/>
      <w:tcPr>
        <w:shd w:val="clear" w:color="auto" w:fill="FFD570" w:themeFill="accent5" w:themeFillTint="7F"/>
      </w:tcPr>
    </w:tblStylePr>
  </w:style>
  <w:style w:type="table" w:styleId="MediumGrid1-Accent6">
    <w:name w:val="Medium Grid 1 Accent 6"/>
    <w:basedOn w:val="TableNormal"/>
    <w:uiPriority w:val="67"/>
    <w:rsid w:val="001222D2"/>
    <w:pPr>
      <w:spacing w:after="0" w:line="240" w:lineRule="auto"/>
    </w:pPr>
    <w:tblPr>
      <w:tblStyleRowBandSize w:val="1"/>
      <w:tblStyleColBandSize w:val="1"/>
      <w:tblBorders>
        <w:top w:val="single" w:sz="8" w:space="0" w:color="00AF77" w:themeColor="accent6" w:themeTint="BF"/>
        <w:left w:val="single" w:sz="8" w:space="0" w:color="00AF77" w:themeColor="accent6" w:themeTint="BF"/>
        <w:bottom w:val="single" w:sz="8" w:space="0" w:color="00AF77" w:themeColor="accent6" w:themeTint="BF"/>
        <w:right w:val="single" w:sz="8" w:space="0" w:color="00AF77" w:themeColor="accent6" w:themeTint="BF"/>
        <w:insideH w:val="single" w:sz="8" w:space="0" w:color="00AF77" w:themeColor="accent6" w:themeTint="BF"/>
        <w:insideV w:val="single" w:sz="8" w:space="0" w:color="00AF77" w:themeColor="accent6" w:themeTint="BF"/>
      </w:tblBorders>
    </w:tblPr>
    <w:tcPr>
      <w:shd w:val="clear" w:color="auto" w:fill="90FFDB" w:themeFill="accent6" w:themeFillTint="3F"/>
    </w:tcPr>
    <w:tblStylePr w:type="firstRow">
      <w:rPr>
        <w:b/>
        <w:bCs/>
      </w:rPr>
    </w:tblStylePr>
    <w:tblStylePr w:type="lastRow">
      <w:rPr>
        <w:b/>
        <w:bCs/>
      </w:rPr>
      <w:tblPr/>
      <w:tcPr>
        <w:tcBorders>
          <w:top w:val="single" w:sz="18" w:space="0" w:color="00AF77" w:themeColor="accent6" w:themeTint="BF"/>
        </w:tcBorders>
      </w:tcPr>
    </w:tblStylePr>
    <w:tblStylePr w:type="firstCol">
      <w:rPr>
        <w:b/>
        <w:bCs/>
      </w:rPr>
    </w:tblStylePr>
    <w:tblStylePr w:type="lastCol">
      <w:rPr>
        <w:b/>
        <w:bCs/>
      </w:rPr>
    </w:tblStylePr>
    <w:tblStylePr w:type="band1Vert">
      <w:tblPr/>
      <w:tcPr>
        <w:shd w:val="clear" w:color="auto" w:fill="20FFB8" w:themeFill="accent6" w:themeFillTint="7F"/>
      </w:tcPr>
    </w:tblStylePr>
    <w:tblStylePr w:type="band1Horz">
      <w:tblPr/>
      <w:tcPr>
        <w:shd w:val="clear" w:color="auto" w:fill="20FFB8" w:themeFill="accent6" w:themeFillTint="7F"/>
      </w:tcPr>
    </w:tblStylePr>
  </w:style>
  <w:style w:type="table" w:styleId="MediumGrid2">
    <w:name w:val="Medium Grid 2"/>
    <w:basedOn w:val="TableNormal"/>
    <w:uiPriority w:val="68"/>
    <w:rsid w:val="001222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1222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E6E" w:themeColor="accent1"/>
        <w:left w:val="single" w:sz="8" w:space="0" w:color="6E6E6E" w:themeColor="accent1"/>
        <w:bottom w:val="single" w:sz="8" w:space="0" w:color="6E6E6E" w:themeColor="accent1"/>
        <w:right w:val="single" w:sz="8" w:space="0" w:color="6E6E6E" w:themeColor="accent1"/>
        <w:insideH w:val="single" w:sz="8" w:space="0" w:color="6E6E6E" w:themeColor="accent1"/>
        <w:insideV w:val="single" w:sz="8" w:space="0" w:color="6E6E6E" w:themeColor="accent1"/>
      </w:tblBorders>
    </w:tblPr>
    <w:tcPr>
      <w:shd w:val="clear" w:color="auto" w:fill="DBDBDB" w:themeFill="accent1" w:themeFillTint="3F"/>
    </w:tcPr>
    <w:tblStylePr w:type="firstRow">
      <w:rPr>
        <w:b/>
        <w:bCs/>
        <w:color w:val="000000" w:themeColor="text1"/>
      </w:rPr>
      <w:tblPr/>
      <w:tcPr>
        <w:shd w:val="clear" w:color="auto" w:fill="F0F0F0"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2E2" w:themeFill="accent1" w:themeFillTint="33"/>
      </w:tcPr>
    </w:tblStylePr>
    <w:tblStylePr w:type="band1Vert">
      <w:tblPr/>
      <w:tcPr>
        <w:shd w:val="clear" w:color="auto" w:fill="B6B6B6" w:themeFill="accent1" w:themeFillTint="7F"/>
      </w:tcPr>
    </w:tblStylePr>
    <w:tblStylePr w:type="band1Horz">
      <w:tblPr/>
      <w:tcPr>
        <w:tcBorders>
          <w:insideH w:val="single" w:sz="6" w:space="0" w:color="6E6E6E" w:themeColor="accent1"/>
          <w:insideV w:val="single" w:sz="6" w:space="0" w:color="6E6E6E" w:themeColor="accent1"/>
        </w:tcBorders>
        <w:shd w:val="clear" w:color="auto" w:fill="B6B6B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1222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F9D8A" w:themeColor="accent2"/>
        <w:left w:val="single" w:sz="8" w:space="0" w:color="3F9D8A" w:themeColor="accent2"/>
        <w:bottom w:val="single" w:sz="8" w:space="0" w:color="3F9D8A" w:themeColor="accent2"/>
        <w:right w:val="single" w:sz="8" w:space="0" w:color="3F9D8A" w:themeColor="accent2"/>
        <w:insideH w:val="single" w:sz="8" w:space="0" w:color="3F9D8A" w:themeColor="accent2"/>
        <w:insideV w:val="single" w:sz="8" w:space="0" w:color="3F9D8A" w:themeColor="accent2"/>
      </w:tblBorders>
    </w:tblPr>
    <w:tcPr>
      <w:shd w:val="clear" w:color="auto" w:fill="CBEAE4" w:themeFill="accent2" w:themeFillTint="3F"/>
    </w:tcPr>
    <w:tblStylePr w:type="firstRow">
      <w:rPr>
        <w:b/>
        <w:bCs/>
        <w:color w:val="000000" w:themeColor="text1"/>
      </w:rPr>
      <w:tblPr/>
      <w:tcPr>
        <w:shd w:val="clear" w:color="auto" w:fill="EAF6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EEE9" w:themeFill="accent2" w:themeFillTint="33"/>
      </w:tcPr>
    </w:tblStylePr>
    <w:tblStylePr w:type="band1Vert">
      <w:tblPr/>
      <w:tcPr>
        <w:shd w:val="clear" w:color="auto" w:fill="97D5C9" w:themeFill="accent2" w:themeFillTint="7F"/>
      </w:tcPr>
    </w:tblStylePr>
    <w:tblStylePr w:type="band1Horz">
      <w:tblPr/>
      <w:tcPr>
        <w:tcBorders>
          <w:insideH w:val="single" w:sz="6" w:space="0" w:color="3F9D8A" w:themeColor="accent2"/>
          <w:insideV w:val="single" w:sz="6" w:space="0" w:color="3F9D8A" w:themeColor="accent2"/>
        </w:tcBorders>
        <w:shd w:val="clear" w:color="auto" w:fill="97D5C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1222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1389" w:themeColor="accent3"/>
        <w:left w:val="single" w:sz="8" w:space="0" w:color="7C1389" w:themeColor="accent3"/>
        <w:bottom w:val="single" w:sz="8" w:space="0" w:color="7C1389" w:themeColor="accent3"/>
        <w:right w:val="single" w:sz="8" w:space="0" w:color="7C1389" w:themeColor="accent3"/>
        <w:insideH w:val="single" w:sz="8" w:space="0" w:color="7C1389" w:themeColor="accent3"/>
        <w:insideV w:val="single" w:sz="8" w:space="0" w:color="7C1389" w:themeColor="accent3"/>
      </w:tblBorders>
    </w:tblPr>
    <w:tcPr>
      <w:shd w:val="clear" w:color="auto" w:fill="ECB2F4" w:themeFill="accent3" w:themeFillTint="3F"/>
    </w:tcPr>
    <w:tblStylePr w:type="firstRow">
      <w:rPr>
        <w:b/>
        <w:bCs/>
        <w:color w:val="000000" w:themeColor="text1"/>
      </w:rPr>
      <w:tblPr/>
      <w:tcPr>
        <w:shd w:val="clear" w:color="auto" w:fill="F7E0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0F6" w:themeFill="accent3" w:themeFillTint="33"/>
      </w:tcPr>
    </w:tblStylePr>
    <w:tblStylePr w:type="band1Vert">
      <w:tblPr/>
      <w:tcPr>
        <w:shd w:val="clear" w:color="auto" w:fill="DA64E9" w:themeFill="accent3" w:themeFillTint="7F"/>
      </w:tcPr>
    </w:tblStylePr>
    <w:tblStylePr w:type="band1Horz">
      <w:tblPr/>
      <w:tcPr>
        <w:tcBorders>
          <w:insideH w:val="single" w:sz="6" w:space="0" w:color="7C1389" w:themeColor="accent3"/>
          <w:insideV w:val="single" w:sz="6" w:space="0" w:color="7C1389" w:themeColor="accent3"/>
        </w:tcBorders>
        <w:shd w:val="clear" w:color="auto" w:fill="DA64E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1222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7EC8" w:themeColor="accent4"/>
        <w:left w:val="single" w:sz="8" w:space="0" w:color="A37EC8" w:themeColor="accent4"/>
        <w:bottom w:val="single" w:sz="8" w:space="0" w:color="A37EC8" w:themeColor="accent4"/>
        <w:right w:val="single" w:sz="8" w:space="0" w:color="A37EC8" w:themeColor="accent4"/>
        <w:insideH w:val="single" w:sz="8" w:space="0" w:color="A37EC8" w:themeColor="accent4"/>
        <w:insideV w:val="single" w:sz="8" w:space="0" w:color="A37EC8" w:themeColor="accent4"/>
      </w:tblBorders>
    </w:tblPr>
    <w:tcPr>
      <w:shd w:val="clear" w:color="auto" w:fill="E8DEF1" w:themeFill="accent4" w:themeFillTint="3F"/>
    </w:tcPr>
    <w:tblStylePr w:type="firstRow">
      <w:rPr>
        <w:b/>
        <w:bCs/>
        <w:color w:val="000000" w:themeColor="text1"/>
      </w:rPr>
      <w:tblPr/>
      <w:tcPr>
        <w:shd w:val="clear" w:color="auto" w:fill="F5F2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5F4" w:themeFill="accent4" w:themeFillTint="33"/>
      </w:tcPr>
    </w:tblStylePr>
    <w:tblStylePr w:type="band1Vert">
      <w:tblPr/>
      <w:tcPr>
        <w:shd w:val="clear" w:color="auto" w:fill="D1BEE3" w:themeFill="accent4" w:themeFillTint="7F"/>
      </w:tcPr>
    </w:tblStylePr>
    <w:tblStylePr w:type="band1Horz">
      <w:tblPr/>
      <w:tcPr>
        <w:tcBorders>
          <w:insideH w:val="single" w:sz="6" w:space="0" w:color="A37EC8" w:themeColor="accent4"/>
          <w:insideV w:val="single" w:sz="6" w:space="0" w:color="A37EC8" w:themeColor="accent4"/>
        </w:tcBorders>
        <w:shd w:val="clear" w:color="auto" w:fill="D1BEE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1222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9F00" w:themeColor="accent5"/>
        <w:left w:val="single" w:sz="8" w:space="0" w:color="E09F00" w:themeColor="accent5"/>
        <w:bottom w:val="single" w:sz="8" w:space="0" w:color="E09F00" w:themeColor="accent5"/>
        <w:right w:val="single" w:sz="8" w:space="0" w:color="E09F00" w:themeColor="accent5"/>
        <w:insideH w:val="single" w:sz="8" w:space="0" w:color="E09F00" w:themeColor="accent5"/>
        <w:insideV w:val="single" w:sz="8" w:space="0" w:color="E09F00" w:themeColor="accent5"/>
      </w:tblBorders>
    </w:tblPr>
    <w:tcPr>
      <w:shd w:val="clear" w:color="auto" w:fill="FFEAB8" w:themeFill="accent5" w:themeFillTint="3F"/>
    </w:tcPr>
    <w:tblStylePr w:type="firstRow">
      <w:rPr>
        <w:b/>
        <w:bCs/>
        <w:color w:val="000000" w:themeColor="text1"/>
      </w:rPr>
      <w:tblPr/>
      <w:tcPr>
        <w:shd w:val="clear" w:color="auto" w:fill="FFF6E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EC5" w:themeFill="accent5" w:themeFillTint="33"/>
      </w:tcPr>
    </w:tblStylePr>
    <w:tblStylePr w:type="band1Vert">
      <w:tblPr/>
      <w:tcPr>
        <w:shd w:val="clear" w:color="auto" w:fill="FFD570" w:themeFill="accent5" w:themeFillTint="7F"/>
      </w:tcPr>
    </w:tblStylePr>
    <w:tblStylePr w:type="band1Horz">
      <w:tblPr/>
      <w:tcPr>
        <w:tcBorders>
          <w:insideH w:val="single" w:sz="6" w:space="0" w:color="E09F00" w:themeColor="accent5"/>
          <w:insideV w:val="single" w:sz="6" w:space="0" w:color="E09F00" w:themeColor="accent5"/>
        </w:tcBorders>
        <w:shd w:val="clear" w:color="auto" w:fill="FFD57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1222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F2B" w:themeColor="accent6"/>
        <w:left w:val="single" w:sz="8" w:space="0" w:color="003F2B" w:themeColor="accent6"/>
        <w:bottom w:val="single" w:sz="8" w:space="0" w:color="003F2B" w:themeColor="accent6"/>
        <w:right w:val="single" w:sz="8" w:space="0" w:color="003F2B" w:themeColor="accent6"/>
        <w:insideH w:val="single" w:sz="8" w:space="0" w:color="003F2B" w:themeColor="accent6"/>
        <w:insideV w:val="single" w:sz="8" w:space="0" w:color="003F2B" w:themeColor="accent6"/>
      </w:tblBorders>
    </w:tblPr>
    <w:tcPr>
      <w:shd w:val="clear" w:color="auto" w:fill="90FFDB" w:themeFill="accent6" w:themeFillTint="3F"/>
    </w:tcPr>
    <w:tblStylePr w:type="firstRow">
      <w:rPr>
        <w:b/>
        <w:bCs/>
        <w:color w:val="000000" w:themeColor="text1"/>
      </w:rPr>
      <w:tblPr/>
      <w:tcPr>
        <w:shd w:val="clear" w:color="auto" w:fill="D3FFF1"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FE2" w:themeFill="accent6" w:themeFillTint="33"/>
      </w:tcPr>
    </w:tblStylePr>
    <w:tblStylePr w:type="band1Vert">
      <w:tblPr/>
      <w:tcPr>
        <w:shd w:val="clear" w:color="auto" w:fill="20FFB8" w:themeFill="accent6" w:themeFillTint="7F"/>
      </w:tcPr>
    </w:tblStylePr>
    <w:tblStylePr w:type="band1Horz">
      <w:tblPr/>
      <w:tcPr>
        <w:tcBorders>
          <w:insideH w:val="single" w:sz="6" w:space="0" w:color="003F2B" w:themeColor="accent6"/>
          <w:insideV w:val="single" w:sz="6" w:space="0" w:color="003F2B" w:themeColor="accent6"/>
        </w:tcBorders>
        <w:shd w:val="clear" w:color="auto" w:fill="20FFB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1222D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1222D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BD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E6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E6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E6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E6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6B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6B6" w:themeFill="accent1" w:themeFillTint="7F"/>
      </w:tcPr>
    </w:tblStylePr>
  </w:style>
  <w:style w:type="table" w:styleId="MediumGrid3-Accent2">
    <w:name w:val="Medium Grid 3 Accent 2"/>
    <w:basedOn w:val="TableNormal"/>
    <w:uiPriority w:val="69"/>
    <w:rsid w:val="001222D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AE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9D8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9D8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9D8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9D8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5C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5C9" w:themeFill="accent2" w:themeFillTint="7F"/>
      </w:tcPr>
    </w:tblStylePr>
  </w:style>
  <w:style w:type="table" w:styleId="MediumGrid3-Accent3">
    <w:name w:val="Medium Grid 3 Accent 3"/>
    <w:basedOn w:val="TableNormal"/>
    <w:uiPriority w:val="69"/>
    <w:rsid w:val="001222D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B2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138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138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138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138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64E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64E9" w:themeFill="accent3" w:themeFillTint="7F"/>
      </w:tcPr>
    </w:tblStylePr>
  </w:style>
  <w:style w:type="table" w:styleId="MediumGrid3-Accent4">
    <w:name w:val="Medium Grid 3 Accent 4"/>
    <w:basedOn w:val="TableNormal"/>
    <w:uiPriority w:val="69"/>
    <w:rsid w:val="001222D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DE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7EC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7EC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7EC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7EC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BEE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BEE3" w:themeFill="accent4" w:themeFillTint="7F"/>
      </w:tcPr>
    </w:tblStylePr>
  </w:style>
  <w:style w:type="table" w:styleId="MediumGrid3-Accent5">
    <w:name w:val="Medium Grid 3 Accent 5"/>
    <w:basedOn w:val="TableNormal"/>
    <w:uiPriority w:val="69"/>
    <w:rsid w:val="001222D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AB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9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9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9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9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57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570" w:themeFill="accent5" w:themeFillTint="7F"/>
      </w:tcPr>
    </w:tblStylePr>
  </w:style>
  <w:style w:type="table" w:styleId="MediumGrid3-Accent6">
    <w:name w:val="Medium Grid 3 Accent 6"/>
    <w:basedOn w:val="TableNormal"/>
    <w:uiPriority w:val="69"/>
    <w:rsid w:val="001222D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FFD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F2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F2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F2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F2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0FFB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0FFB8" w:themeFill="accent6" w:themeFillTint="7F"/>
      </w:tcPr>
    </w:tblStylePr>
  </w:style>
  <w:style w:type="table" w:styleId="MediumList1">
    <w:name w:val="Medium List 1"/>
    <w:basedOn w:val="TableNormal"/>
    <w:uiPriority w:val="65"/>
    <w:rsid w:val="001222D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654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1222D2"/>
    <w:pPr>
      <w:spacing w:after="0" w:line="240" w:lineRule="auto"/>
    </w:pPr>
    <w:rPr>
      <w:color w:val="000000" w:themeColor="text1"/>
    </w:rPr>
    <w:tblPr>
      <w:tblStyleRowBandSize w:val="1"/>
      <w:tblStyleColBandSize w:val="1"/>
      <w:tblBorders>
        <w:top w:val="single" w:sz="8" w:space="0" w:color="6E6E6E" w:themeColor="accent1"/>
        <w:bottom w:val="single" w:sz="8" w:space="0" w:color="6E6E6E" w:themeColor="accent1"/>
      </w:tblBorders>
    </w:tblPr>
    <w:tblStylePr w:type="firstRow">
      <w:rPr>
        <w:rFonts w:asciiTheme="majorHAnsi" w:eastAsiaTheme="majorEastAsia" w:hAnsiTheme="majorHAnsi" w:cstheme="majorBidi"/>
      </w:rPr>
      <w:tblPr/>
      <w:tcPr>
        <w:tcBorders>
          <w:top w:val="nil"/>
          <w:bottom w:val="single" w:sz="8" w:space="0" w:color="6E6E6E" w:themeColor="accent1"/>
        </w:tcBorders>
      </w:tcPr>
    </w:tblStylePr>
    <w:tblStylePr w:type="lastRow">
      <w:rPr>
        <w:b/>
        <w:bCs/>
        <w:color w:val="006548" w:themeColor="text2"/>
      </w:rPr>
      <w:tblPr/>
      <w:tcPr>
        <w:tcBorders>
          <w:top w:val="single" w:sz="8" w:space="0" w:color="6E6E6E" w:themeColor="accent1"/>
          <w:bottom w:val="single" w:sz="8" w:space="0" w:color="6E6E6E" w:themeColor="accent1"/>
        </w:tcBorders>
      </w:tcPr>
    </w:tblStylePr>
    <w:tblStylePr w:type="firstCol">
      <w:rPr>
        <w:b/>
        <w:bCs/>
      </w:rPr>
    </w:tblStylePr>
    <w:tblStylePr w:type="lastCol">
      <w:rPr>
        <w:b/>
        <w:bCs/>
      </w:rPr>
      <w:tblPr/>
      <w:tcPr>
        <w:tcBorders>
          <w:top w:val="single" w:sz="8" w:space="0" w:color="6E6E6E" w:themeColor="accent1"/>
          <w:bottom w:val="single" w:sz="8" w:space="0" w:color="6E6E6E" w:themeColor="accent1"/>
        </w:tcBorders>
      </w:tcPr>
    </w:tblStylePr>
    <w:tblStylePr w:type="band1Vert">
      <w:tblPr/>
      <w:tcPr>
        <w:shd w:val="clear" w:color="auto" w:fill="DBDBDB" w:themeFill="accent1" w:themeFillTint="3F"/>
      </w:tcPr>
    </w:tblStylePr>
    <w:tblStylePr w:type="band1Horz">
      <w:tblPr/>
      <w:tcPr>
        <w:shd w:val="clear" w:color="auto" w:fill="DBDBDB" w:themeFill="accent1" w:themeFillTint="3F"/>
      </w:tcPr>
    </w:tblStylePr>
  </w:style>
  <w:style w:type="table" w:styleId="MediumList1-Accent2">
    <w:name w:val="Medium List 1 Accent 2"/>
    <w:basedOn w:val="TableNormal"/>
    <w:uiPriority w:val="65"/>
    <w:rsid w:val="001222D2"/>
    <w:pPr>
      <w:spacing w:after="0" w:line="240" w:lineRule="auto"/>
    </w:pPr>
    <w:rPr>
      <w:color w:val="000000" w:themeColor="text1"/>
    </w:rPr>
    <w:tblPr>
      <w:tblStyleRowBandSize w:val="1"/>
      <w:tblStyleColBandSize w:val="1"/>
      <w:tblBorders>
        <w:top w:val="single" w:sz="8" w:space="0" w:color="3F9D8A" w:themeColor="accent2"/>
        <w:bottom w:val="single" w:sz="8" w:space="0" w:color="3F9D8A" w:themeColor="accent2"/>
      </w:tblBorders>
    </w:tblPr>
    <w:tblStylePr w:type="firstRow">
      <w:rPr>
        <w:rFonts w:asciiTheme="majorHAnsi" w:eastAsiaTheme="majorEastAsia" w:hAnsiTheme="majorHAnsi" w:cstheme="majorBidi"/>
      </w:rPr>
      <w:tblPr/>
      <w:tcPr>
        <w:tcBorders>
          <w:top w:val="nil"/>
          <w:bottom w:val="single" w:sz="8" w:space="0" w:color="3F9D8A" w:themeColor="accent2"/>
        </w:tcBorders>
      </w:tcPr>
    </w:tblStylePr>
    <w:tblStylePr w:type="lastRow">
      <w:rPr>
        <w:b/>
        <w:bCs/>
        <w:color w:val="006548" w:themeColor="text2"/>
      </w:rPr>
      <w:tblPr/>
      <w:tcPr>
        <w:tcBorders>
          <w:top w:val="single" w:sz="8" w:space="0" w:color="3F9D8A" w:themeColor="accent2"/>
          <w:bottom w:val="single" w:sz="8" w:space="0" w:color="3F9D8A" w:themeColor="accent2"/>
        </w:tcBorders>
      </w:tcPr>
    </w:tblStylePr>
    <w:tblStylePr w:type="firstCol">
      <w:rPr>
        <w:b/>
        <w:bCs/>
      </w:rPr>
    </w:tblStylePr>
    <w:tblStylePr w:type="lastCol">
      <w:rPr>
        <w:b/>
        <w:bCs/>
      </w:rPr>
      <w:tblPr/>
      <w:tcPr>
        <w:tcBorders>
          <w:top w:val="single" w:sz="8" w:space="0" w:color="3F9D8A" w:themeColor="accent2"/>
          <w:bottom w:val="single" w:sz="8" w:space="0" w:color="3F9D8A" w:themeColor="accent2"/>
        </w:tcBorders>
      </w:tcPr>
    </w:tblStylePr>
    <w:tblStylePr w:type="band1Vert">
      <w:tblPr/>
      <w:tcPr>
        <w:shd w:val="clear" w:color="auto" w:fill="CBEAE4" w:themeFill="accent2" w:themeFillTint="3F"/>
      </w:tcPr>
    </w:tblStylePr>
    <w:tblStylePr w:type="band1Horz">
      <w:tblPr/>
      <w:tcPr>
        <w:shd w:val="clear" w:color="auto" w:fill="CBEAE4" w:themeFill="accent2" w:themeFillTint="3F"/>
      </w:tcPr>
    </w:tblStylePr>
  </w:style>
  <w:style w:type="table" w:styleId="MediumList1-Accent3">
    <w:name w:val="Medium List 1 Accent 3"/>
    <w:basedOn w:val="TableNormal"/>
    <w:uiPriority w:val="65"/>
    <w:rsid w:val="001222D2"/>
    <w:pPr>
      <w:spacing w:after="0" w:line="240" w:lineRule="auto"/>
    </w:pPr>
    <w:rPr>
      <w:color w:val="000000" w:themeColor="text1"/>
    </w:rPr>
    <w:tblPr>
      <w:tblStyleRowBandSize w:val="1"/>
      <w:tblStyleColBandSize w:val="1"/>
      <w:tblBorders>
        <w:top w:val="single" w:sz="8" w:space="0" w:color="7C1389" w:themeColor="accent3"/>
        <w:bottom w:val="single" w:sz="8" w:space="0" w:color="7C1389" w:themeColor="accent3"/>
      </w:tblBorders>
    </w:tblPr>
    <w:tblStylePr w:type="firstRow">
      <w:rPr>
        <w:rFonts w:asciiTheme="majorHAnsi" w:eastAsiaTheme="majorEastAsia" w:hAnsiTheme="majorHAnsi" w:cstheme="majorBidi"/>
      </w:rPr>
      <w:tblPr/>
      <w:tcPr>
        <w:tcBorders>
          <w:top w:val="nil"/>
          <w:bottom w:val="single" w:sz="8" w:space="0" w:color="7C1389" w:themeColor="accent3"/>
        </w:tcBorders>
      </w:tcPr>
    </w:tblStylePr>
    <w:tblStylePr w:type="lastRow">
      <w:rPr>
        <w:b/>
        <w:bCs/>
        <w:color w:val="006548" w:themeColor="text2"/>
      </w:rPr>
      <w:tblPr/>
      <w:tcPr>
        <w:tcBorders>
          <w:top w:val="single" w:sz="8" w:space="0" w:color="7C1389" w:themeColor="accent3"/>
          <w:bottom w:val="single" w:sz="8" w:space="0" w:color="7C1389" w:themeColor="accent3"/>
        </w:tcBorders>
      </w:tcPr>
    </w:tblStylePr>
    <w:tblStylePr w:type="firstCol">
      <w:rPr>
        <w:b/>
        <w:bCs/>
      </w:rPr>
    </w:tblStylePr>
    <w:tblStylePr w:type="lastCol">
      <w:rPr>
        <w:b/>
        <w:bCs/>
      </w:rPr>
      <w:tblPr/>
      <w:tcPr>
        <w:tcBorders>
          <w:top w:val="single" w:sz="8" w:space="0" w:color="7C1389" w:themeColor="accent3"/>
          <w:bottom w:val="single" w:sz="8" w:space="0" w:color="7C1389" w:themeColor="accent3"/>
        </w:tcBorders>
      </w:tcPr>
    </w:tblStylePr>
    <w:tblStylePr w:type="band1Vert">
      <w:tblPr/>
      <w:tcPr>
        <w:shd w:val="clear" w:color="auto" w:fill="ECB2F4" w:themeFill="accent3" w:themeFillTint="3F"/>
      </w:tcPr>
    </w:tblStylePr>
    <w:tblStylePr w:type="band1Horz">
      <w:tblPr/>
      <w:tcPr>
        <w:shd w:val="clear" w:color="auto" w:fill="ECB2F4" w:themeFill="accent3" w:themeFillTint="3F"/>
      </w:tcPr>
    </w:tblStylePr>
  </w:style>
  <w:style w:type="table" w:styleId="MediumList1-Accent4">
    <w:name w:val="Medium List 1 Accent 4"/>
    <w:basedOn w:val="TableNormal"/>
    <w:uiPriority w:val="65"/>
    <w:rsid w:val="001222D2"/>
    <w:pPr>
      <w:spacing w:after="0" w:line="240" w:lineRule="auto"/>
    </w:pPr>
    <w:rPr>
      <w:color w:val="000000" w:themeColor="text1"/>
    </w:rPr>
    <w:tblPr>
      <w:tblStyleRowBandSize w:val="1"/>
      <w:tblStyleColBandSize w:val="1"/>
      <w:tblBorders>
        <w:top w:val="single" w:sz="8" w:space="0" w:color="A37EC8" w:themeColor="accent4"/>
        <w:bottom w:val="single" w:sz="8" w:space="0" w:color="A37EC8" w:themeColor="accent4"/>
      </w:tblBorders>
    </w:tblPr>
    <w:tblStylePr w:type="firstRow">
      <w:rPr>
        <w:rFonts w:asciiTheme="majorHAnsi" w:eastAsiaTheme="majorEastAsia" w:hAnsiTheme="majorHAnsi" w:cstheme="majorBidi"/>
      </w:rPr>
      <w:tblPr/>
      <w:tcPr>
        <w:tcBorders>
          <w:top w:val="nil"/>
          <w:bottom w:val="single" w:sz="8" w:space="0" w:color="A37EC8" w:themeColor="accent4"/>
        </w:tcBorders>
      </w:tcPr>
    </w:tblStylePr>
    <w:tblStylePr w:type="lastRow">
      <w:rPr>
        <w:b/>
        <w:bCs/>
        <w:color w:val="006548" w:themeColor="text2"/>
      </w:rPr>
      <w:tblPr/>
      <w:tcPr>
        <w:tcBorders>
          <w:top w:val="single" w:sz="8" w:space="0" w:color="A37EC8" w:themeColor="accent4"/>
          <w:bottom w:val="single" w:sz="8" w:space="0" w:color="A37EC8" w:themeColor="accent4"/>
        </w:tcBorders>
      </w:tcPr>
    </w:tblStylePr>
    <w:tblStylePr w:type="firstCol">
      <w:rPr>
        <w:b/>
        <w:bCs/>
      </w:rPr>
    </w:tblStylePr>
    <w:tblStylePr w:type="lastCol">
      <w:rPr>
        <w:b/>
        <w:bCs/>
      </w:rPr>
      <w:tblPr/>
      <w:tcPr>
        <w:tcBorders>
          <w:top w:val="single" w:sz="8" w:space="0" w:color="A37EC8" w:themeColor="accent4"/>
          <w:bottom w:val="single" w:sz="8" w:space="0" w:color="A37EC8" w:themeColor="accent4"/>
        </w:tcBorders>
      </w:tcPr>
    </w:tblStylePr>
    <w:tblStylePr w:type="band1Vert">
      <w:tblPr/>
      <w:tcPr>
        <w:shd w:val="clear" w:color="auto" w:fill="E8DEF1" w:themeFill="accent4" w:themeFillTint="3F"/>
      </w:tcPr>
    </w:tblStylePr>
    <w:tblStylePr w:type="band1Horz">
      <w:tblPr/>
      <w:tcPr>
        <w:shd w:val="clear" w:color="auto" w:fill="E8DEF1" w:themeFill="accent4" w:themeFillTint="3F"/>
      </w:tcPr>
    </w:tblStylePr>
  </w:style>
  <w:style w:type="table" w:styleId="MediumList1-Accent5">
    <w:name w:val="Medium List 1 Accent 5"/>
    <w:basedOn w:val="TableNormal"/>
    <w:uiPriority w:val="65"/>
    <w:rsid w:val="001222D2"/>
    <w:pPr>
      <w:spacing w:after="0" w:line="240" w:lineRule="auto"/>
    </w:pPr>
    <w:rPr>
      <w:color w:val="000000" w:themeColor="text1"/>
    </w:rPr>
    <w:tblPr>
      <w:tblStyleRowBandSize w:val="1"/>
      <w:tblStyleColBandSize w:val="1"/>
      <w:tblBorders>
        <w:top w:val="single" w:sz="8" w:space="0" w:color="E09F00" w:themeColor="accent5"/>
        <w:bottom w:val="single" w:sz="8" w:space="0" w:color="E09F00" w:themeColor="accent5"/>
      </w:tblBorders>
    </w:tblPr>
    <w:tblStylePr w:type="firstRow">
      <w:rPr>
        <w:rFonts w:asciiTheme="majorHAnsi" w:eastAsiaTheme="majorEastAsia" w:hAnsiTheme="majorHAnsi" w:cstheme="majorBidi"/>
      </w:rPr>
      <w:tblPr/>
      <w:tcPr>
        <w:tcBorders>
          <w:top w:val="nil"/>
          <w:bottom w:val="single" w:sz="8" w:space="0" w:color="E09F00" w:themeColor="accent5"/>
        </w:tcBorders>
      </w:tcPr>
    </w:tblStylePr>
    <w:tblStylePr w:type="lastRow">
      <w:rPr>
        <w:b/>
        <w:bCs/>
        <w:color w:val="006548" w:themeColor="text2"/>
      </w:rPr>
      <w:tblPr/>
      <w:tcPr>
        <w:tcBorders>
          <w:top w:val="single" w:sz="8" w:space="0" w:color="E09F00" w:themeColor="accent5"/>
          <w:bottom w:val="single" w:sz="8" w:space="0" w:color="E09F00" w:themeColor="accent5"/>
        </w:tcBorders>
      </w:tcPr>
    </w:tblStylePr>
    <w:tblStylePr w:type="firstCol">
      <w:rPr>
        <w:b/>
        <w:bCs/>
      </w:rPr>
    </w:tblStylePr>
    <w:tblStylePr w:type="lastCol">
      <w:rPr>
        <w:b/>
        <w:bCs/>
      </w:rPr>
      <w:tblPr/>
      <w:tcPr>
        <w:tcBorders>
          <w:top w:val="single" w:sz="8" w:space="0" w:color="E09F00" w:themeColor="accent5"/>
          <w:bottom w:val="single" w:sz="8" w:space="0" w:color="E09F00" w:themeColor="accent5"/>
        </w:tcBorders>
      </w:tcPr>
    </w:tblStylePr>
    <w:tblStylePr w:type="band1Vert">
      <w:tblPr/>
      <w:tcPr>
        <w:shd w:val="clear" w:color="auto" w:fill="FFEAB8" w:themeFill="accent5" w:themeFillTint="3F"/>
      </w:tcPr>
    </w:tblStylePr>
    <w:tblStylePr w:type="band1Horz">
      <w:tblPr/>
      <w:tcPr>
        <w:shd w:val="clear" w:color="auto" w:fill="FFEAB8" w:themeFill="accent5" w:themeFillTint="3F"/>
      </w:tcPr>
    </w:tblStylePr>
  </w:style>
  <w:style w:type="table" w:styleId="MediumList1-Accent6">
    <w:name w:val="Medium List 1 Accent 6"/>
    <w:basedOn w:val="TableNormal"/>
    <w:uiPriority w:val="65"/>
    <w:rsid w:val="001222D2"/>
    <w:pPr>
      <w:spacing w:after="0" w:line="240" w:lineRule="auto"/>
    </w:pPr>
    <w:rPr>
      <w:color w:val="000000" w:themeColor="text1"/>
    </w:rPr>
    <w:tblPr>
      <w:tblStyleRowBandSize w:val="1"/>
      <w:tblStyleColBandSize w:val="1"/>
      <w:tblBorders>
        <w:top w:val="single" w:sz="8" w:space="0" w:color="003F2B" w:themeColor="accent6"/>
        <w:bottom w:val="single" w:sz="8" w:space="0" w:color="003F2B" w:themeColor="accent6"/>
      </w:tblBorders>
    </w:tblPr>
    <w:tblStylePr w:type="firstRow">
      <w:rPr>
        <w:rFonts w:asciiTheme="majorHAnsi" w:eastAsiaTheme="majorEastAsia" w:hAnsiTheme="majorHAnsi" w:cstheme="majorBidi"/>
      </w:rPr>
      <w:tblPr/>
      <w:tcPr>
        <w:tcBorders>
          <w:top w:val="nil"/>
          <w:bottom w:val="single" w:sz="8" w:space="0" w:color="003F2B" w:themeColor="accent6"/>
        </w:tcBorders>
      </w:tcPr>
    </w:tblStylePr>
    <w:tblStylePr w:type="lastRow">
      <w:rPr>
        <w:b/>
        <w:bCs/>
        <w:color w:val="006548" w:themeColor="text2"/>
      </w:rPr>
      <w:tblPr/>
      <w:tcPr>
        <w:tcBorders>
          <w:top w:val="single" w:sz="8" w:space="0" w:color="003F2B" w:themeColor="accent6"/>
          <w:bottom w:val="single" w:sz="8" w:space="0" w:color="003F2B" w:themeColor="accent6"/>
        </w:tcBorders>
      </w:tcPr>
    </w:tblStylePr>
    <w:tblStylePr w:type="firstCol">
      <w:rPr>
        <w:b/>
        <w:bCs/>
      </w:rPr>
    </w:tblStylePr>
    <w:tblStylePr w:type="lastCol">
      <w:rPr>
        <w:b/>
        <w:bCs/>
      </w:rPr>
      <w:tblPr/>
      <w:tcPr>
        <w:tcBorders>
          <w:top w:val="single" w:sz="8" w:space="0" w:color="003F2B" w:themeColor="accent6"/>
          <w:bottom w:val="single" w:sz="8" w:space="0" w:color="003F2B" w:themeColor="accent6"/>
        </w:tcBorders>
      </w:tcPr>
    </w:tblStylePr>
    <w:tblStylePr w:type="band1Vert">
      <w:tblPr/>
      <w:tcPr>
        <w:shd w:val="clear" w:color="auto" w:fill="90FFDB" w:themeFill="accent6" w:themeFillTint="3F"/>
      </w:tcPr>
    </w:tblStylePr>
    <w:tblStylePr w:type="band1Horz">
      <w:tblPr/>
      <w:tcPr>
        <w:shd w:val="clear" w:color="auto" w:fill="90FFDB" w:themeFill="accent6" w:themeFillTint="3F"/>
      </w:tcPr>
    </w:tblStylePr>
  </w:style>
  <w:style w:type="table" w:styleId="MediumList2">
    <w:name w:val="Medium List 2"/>
    <w:basedOn w:val="TableNormal"/>
    <w:uiPriority w:val="66"/>
    <w:rsid w:val="001222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1222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E6E" w:themeColor="accent1"/>
        <w:left w:val="single" w:sz="8" w:space="0" w:color="6E6E6E" w:themeColor="accent1"/>
        <w:bottom w:val="single" w:sz="8" w:space="0" w:color="6E6E6E" w:themeColor="accent1"/>
        <w:right w:val="single" w:sz="8" w:space="0" w:color="6E6E6E" w:themeColor="accent1"/>
      </w:tblBorders>
    </w:tblPr>
    <w:tblStylePr w:type="firstRow">
      <w:rPr>
        <w:sz w:val="24"/>
        <w:szCs w:val="24"/>
      </w:rPr>
      <w:tblPr/>
      <w:tcPr>
        <w:tcBorders>
          <w:top w:val="nil"/>
          <w:left w:val="nil"/>
          <w:bottom w:val="single" w:sz="24" w:space="0" w:color="6E6E6E" w:themeColor="accent1"/>
          <w:right w:val="nil"/>
          <w:insideH w:val="nil"/>
          <w:insideV w:val="nil"/>
        </w:tcBorders>
        <w:shd w:val="clear" w:color="auto" w:fill="FFFFFF" w:themeFill="background1"/>
      </w:tcPr>
    </w:tblStylePr>
    <w:tblStylePr w:type="lastRow">
      <w:tblPr/>
      <w:tcPr>
        <w:tcBorders>
          <w:top w:val="single" w:sz="8" w:space="0" w:color="6E6E6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E6E" w:themeColor="accent1"/>
          <w:insideH w:val="nil"/>
          <w:insideV w:val="nil"/>
        </w:tcBorders>
        <w:shd w:val="clear" w:color="auto" w:fill="FFFFFF" w:themeFill="background1"/>
      </w:tcPr>
    </w:tblStylePr>
    <w:tblStylePr w:type="lastCol">
      <w:tblPr/>
      <w:tcPr>
        <w:tcBorders>
          <w:top w:val="nil"/>
          <w:left w:val="single" w:sz="8" w:space="0" w:color="6E6E6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BDB" w:themeFill="accent1" w:themeFillTint="3F"/>
      </w:tcPr>
    </w:tblStylePr>
    <w:tblStylePr w:type="band1Horz">
      <w:tblPr/>
      <w:tcPr>
        <w:tcBorders>
          <w:top w:val="nil"/>
          <w:bottom w:val="nil"/>
          <w:insideH w:val="nil"/>
          <w:insideV w:val="nil"/>
        </w:tcBorders>
        <w:shd w:val="clear" w:color="auto" w:fill="DBDBD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1222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F9D8A" w:themeColor="accent2"/>
        <w:left w:val="single" w:sz="8" w:space="0" w:color="3F9D8A" w:themeColor="accent2"/>
        <w:bottom w:val="single" w:sz="8" w:space="0" w:color="3F9D8A" w:themeColor="accent2"/>
        <w:right w:val="single" w:sz="8" w:space="0" w:color="3F9D8A" w:themeColor="accent2"/>
      </w:tblBorders>
    </w:tblPr>
    <w:tblStylePr w:type="firstRow">
      <w:rPr>
        <w:sz w:val="24"/>
        <w:szCs w:val="24"/>
      </w:rPr>
      <w:tblPr/>
      <w:tcPr>
        <w:tcBorders>
          <w:top w:val="nil"/>
          <w:left w:val="nil"/>
          <w:bottom w:val="single" w:sz="24" w:space="0" w:color="3F9D8A" w:themeColor="accent2"/>
          <w:right w:val="nil"/>
          <w:insideH w:val="nil"/>
          <w:insideV w:val="nil"/>
        </w:tcBorders>
        <w:shd w:val="clear" w:color="auto" w:fill="FFFFFF" w:themeFill="background1"/>
      </w:tcPr>
    </w:tblStylePr>
    <w:tblStylePr w:type="lastRow">
      <w:tblPr/>
      <w:tcPr>
        <w:tcBorders>
          <w:top w:val="single" w:sz="8" w:space="0" w:color="3F9D8A"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9D8A" w:themeColor="accent2"/>
          <w:insideH w:val="nil"/>
          <w:insideV w:val="nil"/>
        </w:tcBorders>
        <w:shd w:val="clear" w:color="auto" w:fill="FFFFFF" w:themeFill="background1"/>
      </w:tcPr>
    </w:tblStylePr>
    <w:tblStylePr w:type="lastCol">
      <w:tblPr/>
      <w:tcPr>
        <w:tcBorders>
          <w:top w:val="nil"/>
          <w:left w:val="single" w:sz="8" w:space="0" w:color="3F9D8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AE4" w:themeFill="accent2" w:themeFillTint="3F"/>
      </w:tcPr>
    </w:tblStylePr>
    <w:tblStylePr w:type="band1Horz">
      <w:tblPr/>
      <w:tcPr>
        <w:tcBorders>
          <w:top w:val="nil"/>
          <w:bottom w:val="nil"/>
          <w:insideH w:val="nil"/>
          <w:insideV w:val="nil"/>
        </w:tcBorders>
        <w:shd w:val="clear" w:color="auto" w:fill="CBEAE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1222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1389" w:themeColor="accent3"/>
        <w:left w:val="single" w:sz="8" w:space="0" w:color="7C1389" w:themeColor="accent3"/>
        <w:bottom w:val="single" w:sz="8" w:space="0" w:color="7C1389" w:themeColor="accent3"/>
        <w:right w:val="single" w:sz="8" w:space="0" w:color="7C1389" w:themeColor="accent3"/>
      </w:tblBorders>
    </w:tblPr>
    <w:tblStylePr w:type="firstRow">
      <w:rPr>
        <w:sz w:val="24"/>
        <w:szCs w:val="24"/>
      </w:rPr>
      <w:tblPr/>
      <w:tcPr>
        <w:tcBorders>
          <w:top w:val="nil"/>
          <w:left w:val="nil"/>
          <w:bottom w:val="single" w:sz="24" w:space="0" w:color="7C1389" w:themeColor="accent3"/>
          <w:right w:val="nil"/>
          <w:insideH w:val="nil"/>
          <w:insideV w:val="nil"/>
        </w:tcBorders>
        <w:shd w:val="clear" w:color="auto" w:fill="FFFFFF" w:themeFill="background1"/>
      </w:tcPr>
    </w:tblStylePr>
    <w:tblStylePr w:type="lastRow">
      <w:tblPr/>
      <w:tcPr>
        <w:tcBorders>
          <w:top w:val="single" w:sz="8" w:space="0" w:color="7C138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1389" w:themeColor="accent3"/>
          <w:insideH w:val="nil"/>
          <w:insideV w:val="nil"/>
        </w:tcBorders>
        <w:shd w:val="clear" w:color="auto" w:fill="FFFFFF" w:themeFill="background1"/>
      </w:tcPr>
    </w:tblStylePr>
    <w:tblStylePr w:type="lastCol">
      <w:tblPr/>
      <w:tcPr>
        <w:tcBorders>
          <w:top w:val="nil"/>
          <w:left w:val="single" w:sz="8" w:space="0" w:color="7C138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B2F4" w:themeFill="accent3" w:themeFillTint="3F"/>
      </w:tcPr>
    </w:tblStylePr>
    <w:tblStylePr w:type="band1Horz">
      <w:tblPr/>
      <w:tcPr>
        <w:tcBorders>
          <w:top w:val="nil"/>
          <w:bottom w:val="nil"/>
          <w:insideH w:val="nil"/>
          <w:insideV w:val="nil"/>
        </w:tcBorders>
        <w:shd w:val="clear" w:color="auto" w:fill="ECB2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1222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7EC8" w:themeColor="accent4"/>
        <w:left w:val="single" w:sz="8" w:space="0" w:color="A37EC8" w:themeColor="accent4"/>
        <w:bottom w:val="single" w:sz="8" w:space="0" w:color="A37EC8" w:themeColor="accent4"/>
        <w:right w:val="single" w:sz="8" w:space="0" w:color="A37EC8" w:themeColor="accent4"/>
      </w:tblBorders>
    </w:tblPr>
    <w:tblStylePr w:type="firstRow">
      <w:rPr>
        <w:sz w:val="24"/>
        <w:szCs w:val="24"/>
      </w:rPr>
      <w:tblPr/>
      <w:tcPr>
        <w:tcBorders>
          <w:top w:val="nil"/>
          <w:left w:val="nil"/>
          <w:bottom w:val="single" w:sz="24" w:space="0" w:color="A37EC8" w:themeColor="accent4"/>
          <w:right w:val="nil"/>
          <w:insideH w:val="nil"/>
          <w:insideV w:val="nil"/>
        </w:tcBorders>
        <w:shd w:val="clear" w:color="auto" w:fill="FFFFFF" w:themeFill="background1"/>
      </w:tcPr>
    </w:tblStylePr>
    <w:tblStylePr w:type="lastRow">
      <w:tblPr/>
      <w:tcPr>
        <w:tcBorders>
          <w:top w:val="single" w:sz="8" w:space="0" w:color="A37EC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7EC8" w:themeColor="accent4"/>
          <w:insideH w:val="nil"/>
          <w:insideV w:val="nil"/>
        </w:tcBorders>
        <w:shd w:val="clear" w:color="auto" w:fill="FFFFFF" w:themeFill="background1"/>
      </w:tcPr>
    </w:tblStylePr>
    <w:tblStylePr w:type="lastCol">
      <w:tblPr/>
      <w:tcPr>
        <w:tcBorders>
          <w:top w:val="nil"/>
          <w:left w:val="single" w:sz="8" w:space="0" w:color="A37EC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DEF1" w:themeFill="accent4" w:themeFillTint="3F"/>
      </w:tcPr>
    </w:tblStylePr>
    <w:tblStylePr w:type="band1Horz">
      <w:tblPr/>
      <w:tcPr>
        <w:tcBorders>
          <w:top w:val="nil"/>
          <w:bottom w:val="nil"/>
          <w:insideH w:val="nil"/>
          <w:insideV w:val="nil"/>
        </w:tcBorders>
        <w:shd w:val="clear" w:color="auto" w:fill="E8DE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1222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9F00" w:themeColor="accent5"/>
        <w:left w:val="single" w:sz="8" w:space="0" w:color="E09F00" w:themeColor="accent5"/>
        <w:bottom w:val="single" w:sz="8" w:space="0" w:color="E09F00" w:themeColor="accent5"/>
        <w:right w:val="single" w:sz="8" w:space="0" w:color="E09F00" w:themeColor="accent5"/>
      </w:tblBorders>
    </w:tblPr>
    <w:tblStylePr w:type="firstRow">
      <w:rPr>
        <w:sz w:val="24"/>
        <w:szCs w:val="24"/>
      </w:rPr>
      <w:tblPr/>
      <w:tcPr>
        <w:tcBorders>
          <w:top w:val="nil"/>
          <w:left w:val="nil"/>
          <w:bottom w:val="single" w:sz="24" w:space="0" w:color="E09F00" w:themeColor="accent5"/>
          <w:right w:val="nil"/>
          <w:insideH w:val="nil"/>
          <w:insideV w:val="nil"/>
        </w:tcBorders>
        <w:shd w:val="clear" w:color="auto" w:fill="FFFFFF" w:themeFill="background1"/>
      </w:tcPr>
    </w:tblStylePr>
    <w:tblStylePr w:type="lastRow">
      <w:tblPr/>
      <w:tcPr>
        <w:tcBorders>
          <w:top w:val="single" w:sz="8" w:space="0" w:color="E09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9F00" w:themeColor="accent5"/>
          <w:insideH w:val="nil"/>
          <w:insideV w:val="nil"/>
        </w:tcBorders>
        <w:shd w:val="clear" w:color="auto" w:fill="FFFFFF" w:themeFill="background1"/>
      </w:tcPr>
    </w:tblStylePr>
    <w:tblStylePr w:type="lastCol">
      <w:tblPr/>
      <w:tcPr>
        <w:tcBorders>
          <w:top w:val="nil"/>
          <w:left w:val="single" w:sz="8" w:space="0" w:color="E09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AB8" w:themeFill="accent5" w:themeFillTint="3F"/>
      </w:tcPr>
    </w:tblStylePr>
    <w:tblStylePr w:type="band1Horz">
      <w:tblPr/>
      <w:tcPr>
        <w:tcBorders>
          <w:top w:val="nil"/>
          <w:bottom w:val="nil"/>
          <w:insideH w:val="nil"/>
          <w:insideV w:val="nil"/>
        </w:tcBorders>
        <w:shd w:val="clear" w:color="auto" w:fill="FFEAB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1222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F2B" w:themeColor="accent6"/>
        <w:left w:val="single" w:sz="8" w:space="0" w:color="003F2B" w:themeColor="accent6"/>
        <w:bottom w:val="single" w:sz="8" w:space="0" w:color="003F2B" w:themeColor="accent6"/>
        <w:right w:val="single" w:sz="8" w:space="0" w:color="003F2B" w:themeColor="accent6"/>
      </w:tblBorders>
    </w:tblPr>
    <w:tblStylePr w:type="firstRow">
      <w:rPr>
        <w:sz w:val="24"/>
        <w:szCs w:val="24"/>
      </w:rPr>
      <w:tblPr/>
      <w:tcPr>
        <w:tcBorders>
          <w:top w:val="nil"/>
          <w:left w:val="nil"/>
          <w:bottom w:val="single" w:sz="24" w:space="0" w:color="003F2B" w:themeColor="accent6"/>
          <w:right w:val="nil"/>
          <w:insideH w:val="nil"/>
          <w:insideV w:val="nil"/>
        </w:tcBorders>
        <w:shd w:val="clear" w:color="auto" w:fill="FFFFFF" w:themeFill="background1"/>
      </w:tcPr>
    </w:tblStylePr>
    <w:tblStylePr w:type="lastRow">
      <w:tblPr/>
      <w:tcPr>
        <w:tcBorders>
          <w:top w:val="single" w:sz="8" w:space="0" w:color="003F2B"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F2B" w:themeColor="accent6"/>
          <w:insideH w:val="nil"/>
          <w:insideV w:val="nil"/>
        </w:tcBorders>
        <w:shd w:val="clear" w:color="auto" w:fill="FFFFFF" w:themeFill="background1"/>
      </w:tcPr>
    </w:tblStylePr>
    <w:tblStylePr w:type="lastCol">
      <w:tblPr/>
      <w:tcPr>
        <w:tcBorders>
          <w:top w:val="nil"/>
          <w:left w:val="single" w:sz="8" w:space="0" w:color="003F2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FFDB" w:themeFill="accent6" w:themeFillTint="3F"/>
      </w:tcPr>
    </w:tblStylePr>
    <w:tblStylePr w:type="band1Horz">
      <w:tblPr/>
      <w:tcPr>
        <w:tcBorders>
          <w:top w:val="nil"/>
          <w:bottom w:val="nil"/>
          <w:insideH w:val="nil"/>
          <w:insideV w:val="nil"/>
        </w:tcBorders>
        <w:shd w:val="clear" w:color="auto" w:fill="90FFD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1222D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222D2"/>
    <w:pPr>
      <w:spacing w:after="0" w:line="240" w:lineRule="auto"/>
    </w:pPr>
    <w:tblPr>
      <w:tblStyleRowBandSize w:val="1"/>
      <w:tblStyleColBandSize w:val="1"/>
      <w:tblBorders>
        <w:top w:val="single" w:sz="8" w:space="0" w:color="929292" w:themeColor="accent1" w:themeTint="BF"/>
        <w:left w:val="single" w:sz="8" w:space="0" w:color="929292" w:themeColor="accent1" w:themeTint="BF"/>
        <w:bottom w:val="single" w:sz="8" w:space="0" w:color="929292" w:themeColor="accent1" w:themeTint="BF"/>
        <w:right w:val="single" w:sz="8" w:space="0" w:color="929292" w:themeColor="accent1" w:themeTint="BF"/>
        <w:insideH w:val="single" w:sz="8" w:space="0" w:color="929292" w:themeColor="accent1" w:themeTint="BF"/>
      </w:tblBorders>
    </w:tblPr>
    <w:tblStylePr w:type="firstRow">
      <w:pPr>
        <w:spacing w:before="0" w:after="0" w:line="240" w:lineRule="auto"/>
      </w:pPr>
      <w:rPr>
        <w:b/>
        <w:bCs/>
        <w:color w:val="FFFFFF" w:themeColor="background1"/>
      </w:rPr>
      <w:tblPr/>
      <w:tcPr>
        <w:tcBorders>
          <w:top w:val="single" w:sz="8" w:space="0" w:color="929292" w:themeColor="accent1" w:themeTint="BF"/>
          <w:left w:val="single" w:sz="8" w:space="0" w:color="929292" w:themeColor="accent1" w:themeTint="BF"/>
          <w:bottom w:val="single" w:sz="8" w:space="0" w:color="929292" w:themeColor="accent1" w:themeTint="BF"/>
          <w:right w:val="single" w:sz="8" w:space="0" w:color="929292" w:themeColor="accent1" w:themeTint="BF"/>
          <w:insideH w:val="nil"/>
          <w:insideV w:val="nil"/>
        </w:tcBorders>
        <w:shd w:val="clear" w:color="auto" w:fill="6E6E6E" w:themeFill="accent1"/>
      </w:tcPr>
    </w:tblStylePr>
    <w:tblStylePr w:type="lastRow">
      <w:pPr>
        <w:spacing w:before="0" w:after="0" w:line="240" w:lineRule="auto"/>
      </w:pPr>
      <w:rPr>
        <w:b/>
        <w:bCs/>
      </w:rPr>
      <w:tblPr/>
      <w:tcPr>
        <w:tcBorders>
          <w:top w:val="double" w:sz="6" w:space="0" w:color="929292" w:themeColor="accent1" w:themeTint="BF"/>
          <w:left w:val="single" w:sz="8" w:space="0" w:color="929292" w:themeColor="accent1" w:themeTint="BF"/>
          <w:bottom w:val="single" w:sz="8" w:space="0" w:color="929292" w:themeColor="accent1" w:themeTint="BF"/>
          <w:right w:val="single" w:sz="8" w:space="0" w:color="92929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BDBDB" w:themeFill="accent1" w:themeFillTint="3F"/>
      </w:tcPr>
    </w:tblStylePr>
    <w:tblStylePr w:type="band1Horz">
      <w:tblPr/>
      <w:tcPr>
        <w:tcBorders>
          <w:insideH w:val="nil"/>
          <w:insideV w:val="nil"/>
        </w:tcBorders>
        <w:shd w:val="clear" w:color="auto" w:fill="DBDBD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222D2"/>
    <w:pPr>
      <w:spacing w:after="0" w:line="240" w:lineRule="auto"/>
    </w:pPr>
    <w:tblPr>
      <w:tblStyleRowBandSize w:val="1"/>
      <w:tblStyleColBandSize w:val="1"/>
      <w:tblBorders>
        <w:top w:val="single" w:sz="8" w:space="0" w:color="63C0AD" w:themeColor="accent2" w:themeTint="BF"/>
        <w:left w:val="single" w:sz="8" w:space="0" w:color="63C0AD" w:themeColor="accent2" w:themeTint="BF"/>
        <w:bottom w:val="single" w:sz="8" w:space="0" w:color="63C0AD" w:themeColor="accent2" w:themeTint="BF"/>
        <w:right w:val="single" w:sz="8" w:space="0" w:color="63C0AD" w:themeColor="accent2" w:themeTint="BF"/>
        <w:insideH w:val="single" w:sz="8" w:space="0" w:color="63C0AD" w:themeColor="accent2" w:themeTint="BF"/>
      </w:tblBorders>
    </w:tblPr>
    <w:tblStylePr w:type="firstRow">
      <w:pPr>
        <w:spacing w:before="0" w:after="0" w:line="240" w:lineRule="auto"/>
      </w:pPr>
      <w:rPr>
        <w:b/>
        <w:bCs/>
        <w:color w:val="FFFFFF" w:themeColor="background1"/>
      </w:rPr>
      <w:tblPr/>
      <w:tcPr>
        <w:tcBorders>
          <w:top w:val="single" w:sz="8" w:space="0" w:color="63C0AD" w:themeColor="accent2" w:themeTint="BF"/>
          <w:left w:val="single" w:sz="8" w:space="0" w:color="63C0AD" w:themeColor="accent2" w:themeTint="BF"/>
          <w:bottom w:val="single" w:sz="8" w:space="0" w:color="63C0AD" w:themeColor="accent2" w:themeTint="BF"/>
          <w:right w:val="single" w:sz="8" w:space="0" w:color="63C0AD" w:themeColor="accent2" w:themeTint="BF"/>
          <w:insideH w:val="nil"/>
          <w:insideV w:val="nil"/>
        </w:tcBorders>
        <w:shd w:val="clear" w:color="auto" w:fill="3F9D8A" w:themeFill="accent2"/>
      </w:tcPr>
    </w:tblStylePr>
    <w:tblStylePr w:type="lastRow">
      <w:pPr>
        <w:spacing w:before="0" w:after="0" w:line="240" w:lineRule="auto"/>
      </w:pPr>
      <w:rPr>
        <w:b/>
        <w:bCs/>
      </w:rPr>
      <w:tblPr/>
      <w:tcPr>
        <w:tcBorders>
          <w:top w:val="double" w:sz="6" w:space="0" w:color="63C0AD" w:themeColor="accent2" w:themeTint="BF"/>
          <w:left w:val="single" w:sz="8" w:space="0" w:color="63C0AD" w:themeColor="accent2" w:themeTint="BF"/>
          <w:bottom w:val="single" w:sz="8" w:space="0" w:color="63C0AD" w:themeColor="accent2" w:themeTint="BF"/>
          <w:right w:val="single" w:sz="8" w:space="0" w:color="63C0AD" w:themeColor="accent2" w:themeTint="BF"/>
          <w:insideH w:val="nil"/>
          <w:insideV w:val="nil"/>
        </w:tcBorders>
      </w:tcPr>
    </w:tblStylePr>
    <w:tblStylePr w:type="firstCol">
      <w:rPr>
        <w:b/>
        <w:bCs/>
      </w:rPr>
    </w:tblStylePr>
    <w:tblStylePr w:type="lastCol">
      <w:rPr>
        <w:b/>
        <w:bCs/>
      </w:rPr>
    </w:tblStylePr>
    <w:tblStylePr w:type="band1Vert">
      <w:tblPr/>
      <w:tcPr>
        <w:shd w:val="clear" w:color="auto" w:fill="CBEAE4" w:themeFill="accent2" w:themeFillTint="3F"/>
      </w:tcPr>
    </w:tblStylePr>
    <w:tblStylePr w:type="band1Horz">
      <w:tblPr/>
      <w:tcPr>
        <w:tcBorders>
          <w:insideH w:val="nil"/>
          <w:insideV w:val="nil"/>
        </w:tcBorders>
        <w:shd w:val="clear" w:color="auto" w:fill="CBEAE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222D2"/>
    <w:pPr>
      <w:spacing w:after="0" w:line="240" w:lineRule="auto"/>
    </w:pPr>
    <w:tblPr>
      <w:tblStyleRowBandSize w:val="1"/>
      <w:tblStyleColBandSize w:val="1"/>
      <w:tblBorders>
        <w:top w:val="single" w:sz="8" w:space="0" w:color="C11DD6" w:themeColor="accent3" w:themeTint="BF"/>
        <w:left w:val="single" w:sz="8" w:space="0" w:color="C11DD6" w:themeColor="accent3" w:themeTint="BF"/>
        <w:bottom w:val="single" w:sz="8" w:space="0" w:color="C11DD6" w:themeColor="accent3" w:themeTint="BF"/>
        <w:right w:val="single" w:sz="8" w:space="0" w:color="C11DD6" w:themeColor="accent3" w:themeTint="BF"/>
        <w:insideH w:val="single" w:sz="8" w:space="0" w:color="C11DD6" w:themeColor="accent3" w:themeTint="BF"/>
      </w:tblBorders>
    </w:tblPr>
    <w:tblStylePr w:type="firstRow">
      <w:pPr>
        <w:spacing w:before="0" w:after="0" w:line="240" w:lineRule="auto"/>
      </w:pPr>
      <w:rPr>
        <w:b/>
        <w:bCs/>
        <w:color w:val="FFFFFF" w:themeColor="background1"/>
      </w:rPr>
      <w:tblPr/>
      <w:tcPr>
        <w:tcBorders>
          <w:top w:val="single" w:sz="8" w:space="0" w:color="C11DD6" w:themeColor="accent3" w:themeTint="BF"/>
          <w:left w:val="single" w:sz="8" w:space="0" w:color="C11DD6" w:themeColor="accent3" w:themeTint="BF"/>
          <w:bottom w:val="single" w:sz="8" w:space="0" w:color="C11DD6" w:themeColor="accent3" w:themeTint="BF"/>
          <w:right w:val="single" w:sz="8" w:space="0" w:color="C11DD6" w:themeColor="accent3" w:themeTint="BF"/>
          <w:insideH w:val="nil"/>
          <w:insideV w:val="nil"/>
        </w:tcBorders>
        <w:shd w:val="clear" w:color="auto" w:fill="7C1389" w:themeFill="accent3"/>
      </w:tcPr>
    </w:tblStylePr>
    <w:tblStylePr w:type="lastRow">
      <w:pPr>
        <w:spacing w:before="0" w:after="0" w:line="240" w:lineRule="auto"/>
      </w:pPr>
      <w:rPr>
        <w:b/>
        <w:bCs/>
      </w:rPr>
      <w:tblPr/>
      <w:tcPr>
        <w:tcBorders>
          <w:top w:val="double" w:sz="6" w:space="0" w:color="C11DD6" w:themeColor="accent3" w:themeTint="BF"/>
          <w:left w:val="single" w:sz="8" w:space="0" w:color="C11DD6" w:themeColor="accent3" w:themeTint="BF"/>
          <w:bottom w:val="single" w:sz="8" w:space="0" w:color="C11DD6" w:themeColor="accent3" w:themeTint="BF"/>
          <w:right w:val="single" w:sz="8" w:space="0" w:color="C11D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ECB2F4" w:themeFill="accent3" w:themeFillTint="3F"/>
      </w:tcPr>
    </w:tblStylePr>
    <w:tblStylePr w:type="band1Horz">
      <w:tblPr/>
      <w:tcPr>
        <w:tcBorders>
          <w:insideH w:val="nil"/>
          <w:insideV w:val="nil"/>
        </w:tcBorders>
        <w:shd w:val="clear" w:color="auto" w:fill="ECB2F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222D2"/>
    <w:pPr>
      <w:spacing w:after="0" w:line="240" w:lineRule="auto"/>
    </w:pPr>
    <w:tblPr>
      <w:tblStyleRowBandSize w:val="1"/>
      <w:tblStyleColBandSize w:val="1"/>
      <w:tblBorders>
        <w:top w:val="single" w:sz="8" w:space="0" w:color="B99ED5" w:themeColor="accent4" w:themeTint="BF"/>
        <w:left w:val="single" w:sz="8" w:space="0" w:color="B99ED5" w:themeColor="accent4" w:themeTint="BF"/>
        <w:bottom w:val="single" w:sz="8" w:space="0" w:color="B99ED5" w:themeColor="accent4" w:themeTint="BF"/>
        <w:right w:val="single" w:sz="8" w:space="0" w:color="B99ED5" w:themeColor="accent4" w:themeTint="BF"/>
        <w:insideH w:val="single" w:sz="8" w:space="0" w:color="B99ED5" w:themeColor="accent4" w:themeTint="BF"/>
      </w:tblBorders>
    </w:tblPr>
    <w:tblStylePr w:type="firstRow">
      <w:pPr>
        <w:spacing w:before="0" w:after="0" w:line="240" w:lineRule="auto"/>
      </w:pPr>
      <w:rPr>
        <w:b/>
        <w:bCs/>
        <w:color w:val="FFFFFF" w:themeColor="background1"/>
      </w:rPr>
      <w:tblPr/>
      <w:tcPr>
        <w:tcBorders>
          <w:top w:val="single" w:sz="8" w:space="0" w:color="B99ED5" w:themeColor="accent4" w:themeTint="BF"/>
          <w:left w:val="single" w:sz="8" w:space="0" w:color="B99ED5" w:themeColor="accent4" w:themeTint="BF"/>
          <w:bottom w:val="single" w:sz="8" w:space="0" w:color="B99ED5" w:themeColor="accent4" w:themeTint="BF"/>
          <w:right w:val="single" w:sz="8" w:space="0" w:color="B99ED5" w:themeColor="accent4" w:themeTint="BF"/>
          <w:insideH w:val="nil"/>
          <w:insideV w:val="nil"/>
        </w:tcBorders>
        <w:shd w:val="clear" w:color="auto" w:fill="A37EC8" w:themeFill="accent4"/>
      </w:tcPr>
    </w:tblStylePr>
    <w:tblStylePr w:type="lastRow">
      <w:pPr>
        <w:spacing w:before="0" w:after="0" w:line="240" w:lineRule="auto"/>
      </w:pPr>
      <w:rPr>
        <w:b/>
        <w:bCs/>
      </w:rPr>
      <w:tblPr/>
      <w:tcPr>
        <w:tcBorders>
          <w:top w:val="double" w:sz="6" w:space="0" w:color="B99ED5" w:themeColor="accent4" w:themeTint="BF"/>
          <w:left w:val="single" w:sz="8" w:space="0" w:color="B99ED5" w:themeColor="accent4" w:themeTint="BF"/>
          <w:bottom w:val="single" w:sz="8" w:space="0" w:color="B99ED5" w:themeColor="accent4" w:themeTint="BF"/>
          <w:right w:val="single" w:sz="8" w:space="0" w:color="B99ED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8DEF1" w:themeFill="accent4" w:themeFillTint="3F"/>
      </w:tcPr>
    </w:tblStylePr>
    <w:tblStylePr w:type="band1Horz">
      <w:tblPr/>
      <w:tcPr>
        <w:tcBorders>
          <w:insideH w:val="nil"/>
          <w:insideV w:val="nil"/>
        </w:tcBorders>
        <w:shd w:val="clear" w:color="auto" w:fill="E8DEF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222D2"/>
    <w:pPr>
      <w:spacing w:after="0" w:line="240" w:lineRule="auto"/>
    </w:pPr>
    <w:tblPr>
      <w:tblStyleRowBandSize w:val="1"/>
      <w:tblStyleColBandSize w:val="1"/>
      <w:tblBorders>
        <w:top w:val="single" w:sz="8" w:space="0" w:color="FFC028" w:themeColor="accent5" w:themeTint="BF"/>
        <w:left w:val="single" w:sz="8" w:space="0" w:color="FFC028" w:themeColor="accent5" w:themeTint="BF"/>
        <w:bottom w:val="single" w:sz="8" w:space="0" w:color="FFC028" w:themeColor="accent5" w:themeTint="BF"/>
        <w:right w:val="single" w:sz="8" w:space="0" w:color="FFC028" w:themeColor="accent5" w:themeTint="BF"/>
        <w:insideH w:val="single" w:sz="8" w:space="0" w:color="FFC028" w:themeColor="accent5" w:themeTint="BF"/>
      </w:tblBorders>
    </w:tblPr>
    <w:tblStylePr w:type="firstRow">
      <w:pPr>
        <w:spacing w:before="0" w:after="0" w:line="240" w:lineRule="auto"/>
      </w:pPr>
      <w:rPr>
        <w:b/>
        <w:bCs/>
        <w:color w:val="FFFFFF" w:themeColor="background1"/>
      </w:rPr>
      <w:tblPr/>
      <w:tcPr>
        <w:tcBorders>
          <w:top w:val="single" w:sz="8" w:space="0" w:color="FFC028" w:themeColor="accent5" w:themeTint="BF"/>
          <w:left w:val="single" w:sz="8" w:space="0" w:color="FFC028" w:themeColor="accent5" w:themeTint="BF"/>
          <w:bottom w:val="single" w:sz="8" w:space="0" w:color="FFC028" w:themeColor="accent5" w:themeTint="BF"/>
          <w:right w:val="single" w:sz="8" w:space="0" w:color="FFC028" w:themeColor="accent5" w:themeTint="BF"/>
          <w:insideH w:val="nil"/>
          <w:insideV w:val="nil"/>
        </w:tcBorders>
        <w:shd w:val="clear" w:color="auto" w:fill="E09F00" w:themeFill="accent5"/>
      </w:tcPr>
    </w:tblStylePr>
    <w:tblStylePr w:type="lastRow">
      <w:pPr>
        <w:spacing w:before="0" w:after="0" w:line="240" w:lineRule="auto"/>
      </w:pPr>
      <w:rPr>
        <w:b/>
        <w:bCs/>
      </w:rPr>
      <w:tblPr/>
      <w:tcPr>
        <w:tcBorders>
          <w:top w:val="double" w:sz="6" w:space="0" w:color="FFC028" w:themeColor="accent5" w:themeTint="BF"/>
          <w:left w:val="single" w:sz="8" w:space="0" w:color="FFC028" w:themeColor="accent5" w:themeTint="BF"/>
          <w:bottom w:val="single" w:sz="8" w:space="0" w:color="FFC028" w:themeColor="accent5" w:themeTint="BF"/>
          <w:right w:val="single" w:sz="8" w:space="0" w:color="FFC02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AB8" w:themeFill="accent5" w:themeFillTint="3F"/>
      </w:tcPr>
    </w:tblStylePr>
    <w:tblStylePr w:type="band1Horz">
      <w:tblPr/>
      <w:tcPr>
        <w:tcBorders>
          <w:insideH w:val="nil"/>
          <w:insideV w:val="nil"/>
        </w:tcBorders>
        <w:shd w:val="clear" w:color="auto" w:fill="FFEAB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222D2"/>
    <w:pPr>
      <w:spacing w:after="0" w:line="240" w:lineRule="auto"/>
    </w:pPr>
    <w:tblPr>
      <w:tblStyleRowBandSize w:val="1"/>
      <w:tblStyleColBandSize w:val="1"/>
      <w:tblBorders>
        <w:top w:val="single" w:sz="8" w:space="0" w:color="00AF77" w:themeColor="accent6" w:themeTint="BF"/>
        <w:left w:val="single" w:sz="8" w:space="0" w:color="00AF77" w:themeColor="accent6" w:themeTint="BF"/>
        <w:bottom w:val="single" w:sz="8" w:space="0" w:color="00AF77" w:themeColor="accent6" w:themeTint="BF"/>
        <w:right w:val="single" w:sz="8" w:space="0" w:color="00AF77" w:themeColor="accent6" w:themeTint="BF"/>
        <w:insideH w:val="single" w:sz="8" w:space="0" w:color="00AF77" w:themeColor="accent6" w:themeTint="BF"/>
      </w:tblBorders>
    </w:tblPr>
    <w:tblStylePr w:type="firstRow">
      <w:pPr>
        <w:spacing w:before="0" w:after="0" w:line="240" w:lineRule="auto"/>
      </w:pPr>
      <w:rPr>
        <w:b/>
        <w:bCs/>
        <w:color w:val="FFFFFF" w:themeColor="background1"/>
      </w:rPr>
      <w:tblPr/>
      <w:tcPr>
        <w:tcBorders>
          <w:top w:val="single" w:sz="8" w:space="0" w:color="00AF77" w:themeColor="accent6" w:themeTint="BF"/>
          <w:left w:val="single" w:sz="8" w:space="0" w:color="00AF77" w:themeColor="accent6" w:themeTint="BF"/>
          <w:bottom w:val="single" w:sz="8" w:space="0" w:color="00AF77" w:themeColor="accent6" w:themeTint="BF"/>
          <w:right w:val="single" w:sz="8" w:space="0" w:color="00AF77" w:themeColor="accent6" w:themeTint="BF"/>
          <w:insideH w:val="nil"/>
          <w:insideV w:val="nil"/>
        </w:tcBorders>
        <w:shd w:val="clear" w:color="auto" w:fill="003F2B" w:themeFill="accent6"/>
      </w:tcPr>
    </w:tblStylePr>
    <w:tblStylePr w:type="lastRow">
      <w:pPr>
        <w:spacing w:before="0" w:after="0" w:line="240" w:lineRule="auto"/>
      </w:pPr>
      <w:rPr>
        <w:b/>
        <w:bCs/>
      </w:rPr>
      <w:tblPr/>
      <w:tcPr>
        <w:tcBorders>
          <w:top w:val="double" w:sz="6" w:space="0" w:color="00AF77" w:themeColor="accent6" w:themeTint="BF"/>
          <w:left w:val="single" w:sz="8" w:space="0" w:color="00AF77" w:themeColor="accent6" w:themeTint="BF"/>
          <w:bottom w:val="single" w:sz="8" w:space="0" w:color="00AF77" w:themeColor="accent6" w:themeTint="BF"/>
          <w:right w:val="single" w:sz="8" w:space="0" w:color="00AF77" w:themeColor="accent6" w:themeTint="BF"/>
          <w:insideH w:val="nil"/>
          <w:insideV w:val="nil"/>
        </w:tcBorders>
      </w:tcPr>
    </w:tblStylePr>
    <w:tblStylePr w:type="firstCol">
      <w:rPr>
        <w:b/>
        <w:bCs/>
      </w:rPr>
    </w:tblStylePr>
    <w:tblStylePr w:type="lastCol">
      <w:rPr>
        <w:b/>
        <w:bCs/>
      </w:rPr>
    </w:tblStylePr>
    <w:tblStylePr w:type="band1Vert">
      <w:tblPr/>
      <w:tcPr>
        <w:shd w:val="clear" w:color="auto" w:fill="90FFDB" w:themeFill="accent6" w:themeFillTint="3F"/>
      </w:tcPr>
    </w:tblStylePr>
    <w:tblStylePr w:type="band1Horz">
      <w:tblPr/>
      <w:tcPr>
        <w:tcBorders>
          <w:insideH w:val="nil"/>
          <w:insideV w:val="nil"/>
        </w:tcBorders>
        <w:shd w:val="clear" w:color="auto" w:fill="90FFD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1222D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222D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E6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E6E" w:themeFill="accent1"/>
      </w:tcPr>
    </w:tblStylePr>
    <w:tblStylePr w:type="lastCol">
      <w:rPr>
        <w:b/>
        <w:bCs/>
        <w:color w:val="FFFFFF" w:themeColor="background1"/>
      </w:rPr>
      <w:tblPr/>
      <w:tcPr>
        <w:tcBorders>
          <w:left w:val="nil"/>
          <w:right w:val="nil"/>
          <w:insideH w:val="nil"/>
          <w:insideV w:val="nil"/>
        </w:tcBorders>
        <w:shd w:val="clear" w:color="auto" w:fill="6E6E6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222D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F9D8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9D8A" w:themeFill="accent2"/>
      </w:tcPr>
    </w:tblStylePr>
    <w:tblStylePr w:type="lastCol">
      <w:rPr>
        <w:b/>
        <w:bCs/>
        <w:color w:val="FFFFFF" w:themeColor="background1"/>
      </w:rPr>
      <w:tblPr/>
      <w:tcPr>
        <w:tcBorders>
          <w:left w:val="nil"/>
          <w:right w:val="nil"/>
          <w:insideH w:val="nil"/>
          <w:insideV w:val="nil"/>
        </w:tcBorders>
        <w:shd w:val="clear" w:color="auto" w:fill="3F9D8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222D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138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1389" w:themeFill="accent3"/>
      </w:tcPr>
    </w:tblStylePr>
    <w:tblStylePr w:type="lastCol">
      <w:rPr>
        <w:b/>
        <w:bCs/>
        <w:color w:val="FFFFFF" w:themeColor="background1"/>
      </w:rPr>
      <w:tblPr/>
      <w:tcPr>
        <w:tcBorders>
          <w:left w:val="nil"/>
          <w:right w:val="nil"/>
          <w:insideH w:val="nil"/>
          <w:insideV w:val="nil"/>
        </w:tcBorders>
        <w:shd w:val="clear" w:color="auto" w:fill="7C138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222D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7EC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7EC8" w:themeFill="accent4"/>
      </w:tcPr>
    </w:tblStylePr>
    <w:tblStylePr w:type="lastCol">
      <w:rPr>
        <w:b/>
        <w:bCs/>
        <w:color w:val="FFFFFF" w:themeColor="background1"/>
      </w:rPr>
      <w:tblPr/>
      <w:tcPr>
        <w:tcBorders>
          <w:left w:val="nil"/>
          <w:right w:val="nil"/>
          <w:insideH w:val="nil"/>
          <w:insideV w:val="nil"/>
        </w:tcBorders>
        <w:shd w:val="clear" w:color="auto" w:fill="A37EC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222D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9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09F00" w:themeFill="accent5"/>
      </w:tcPr>
    </w:tblStylePr>
    <w:tblStylePr w:type="lastCol">
      <w:rPr>
        <w:b/>
        <w:bCs/>
        <w:color w:val="FFFFFF" w:themeColor="background1"/>
      </w:rPr>
      <w:tblPr/>
      <w:tcPr>
        <w:tcBorders>
          <w:left w:val="nil"/>
          <w:right w:val="nil"/>
          <w:insideH w:val="nil"/>
          <w:insideV w:val="nil"/>
        </w:tcBorders>
        <w:shd w:val="clear" w:color="auto" w:fill="E09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222D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F2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F2B" w:themeFill="accent6"/>
      </w:tcPr>
    </w:tblStylePr>
    <w:tblStylePr w:type="lastCol">
      <w:rPr>
        <w:b/>
        <w:bCs/>
        <w:color w:val="FFFFFF" w:themeColor="background1"/>
      </w:rPr>
      <w:tblPr/>
      <w:tcPr>
        <w:tcBorders>
          <w:left w:val="nil"/>
          <w:right w:val="nil"/>
          <w:insideH w:val="nil"/>
          <w:insideV w:val="nil"/>
        </w:tcBorders>
        <w:shd w:val="clear" w:color="auto" w:fill="003F2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222D2"/>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222D2"/>
    <w:rPr>
      <w:rFonts w:asciiTheme="majorHAnsi" w:eastAsiaTheme="majorEastAsia" w:hAnsiTheme="majorHAnsi" w:cstheme="majorBidi"/>
      <w:sz w:val="24"/>
      <w:szCs w:val="24"/>
      <w:shd w:val="pct20" w:color="auto" w:fill="auto"/>
    </w:rPr>
  </w:style>
  <w:style w:type="paragraph" w:styleId="NoSpacing">
    <w:name w:val="No Spacing"/>
    <w:uiPriority w:val="99"/>
    <w:qFormat/>
    <w:rsid w:val="001222D2"/>
    <w:pPr>
      <w:spacing w:after="0" w:line="240" w:lineRule="auto"/>
    </w:pPr>
    <w:rPr>
      <w:sz w:val="24"/>
    </w:rPr>
  </w:style>
  <w:style w:type="paragraph" w:styleId="NormalWeb">
    <w:name w:val="Normal (Web)"/>
    <w:basedOn w:val="Normal"/>
    <w:uiPriority w:val="99"/>
    <w:semiHidden/>
    <w:unhideWhenUsed/>
    <w:rsid w:val="001222D2"/>
    <w:rPr>
      <w:rFonts w:ascii="Times New Roman" w:hAnsi="Times New Roman" w:cs="Times New Roman"/>
      <w:szCs w:val="24"/>
    </w:rPr>
  </w:style>
  <w:style w:type="paragraph" w:styleId="NormalIndent">
    <w:name w:val="Normal Indent"/>
    <w:basedOn w:val="Normal"/>
    <w:uiPriority w:val="99"/>
    <w:semiHidden/>
    <w:unhideWhenUsed/>
    <w:rsid w:val="001222D2"/>
    <w:pPr>
      <w:ind w:left="720"/>
    </w:pPr>
  </w:style>
  <w:style w:type="paragraph" w:styleId="NoteHeading">
    <w:name w:val="Note Heading"/>
    <w:basedOn w:val="Normal"/>
    <w:next w:val="Normal"/>
    <w:link w:val="NoteHeadingChar"/>
    <w:uiPriority w:val="99"/>
    <w:semiHidden/>
    <w:unhideWhenUsed/>
    <w:rsid w:val="001222D2"/>
    <w:pPr>
      <w:spacing w:after="0"/>
    </w:pPr>
  </w:style>
  <w:style w:type="character" w:customStyle="1" w:styleId="NoteHeadingChar">
    <w:name w:val="Note Heading Char"/>
    <w:basedOn w:val="DefaultParagraphFont"/>
    <w:link w:val="NoteHeading"/>
    <w:uiPriority w:val="99"/>
    <w:semiHidden/>
    <w:rsid w:val="001222D2"/>
    <w:rPr>
      <w:sz w:val="24"/>
    </w:rPr>
  </w:style>
  <w:style w:type="character" w:styleId="PageNumber">
    <w:name w:val="page number"/>
    <w:basedOn w:val="DefaultParagraphFont"/>
    <w:uiPriority w:val="99"/>
    <w:semiHidden/>
    <w:unhideWhenUsed/>
    <w:rsid w:val="001222D2"/>
  </w:style>
  <w:style w:type="character" w:styleId="PlaceholderText">
    <w:name w:val="Placeholder Text"/>
    <w:basedOn w:val="DefaultParagraphFont"/>
    <w:uiPriority w:val="99"/>
    <w:semiHidden/>
    <w:rsid w:val="001222D2"/>
    <w:rPr>
      <w:color w:val="808080"/>
    </w:rPr>
  </w:style>
  <w:style w:type="paragraph" w:styleId="PlainText">
    <w:name w:val="Plain Text"/>
    <w:basedOn w:val="Normal"/>
    <w:link w:val="PlainTextChar"/>
    <w:uiPriority w:val="99"/>
    <w:semiHidden/>
    <w:unhideWhenUsed/>
    <w:rsid w:val="001222D2"/>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1222D2"/>
    <w:rPr>
      <w:rFonts w:ascii="Consolas" w:hAnsi="Consolas"/>
      <w:sz w:val="21"/>
      <w:szCs w:val="21"/>
    </w:rPr>
  </w:style>
  <w:style w:type="paragraph" w:styleId="Quote">
    <w:name w:val="Quote"/>
    <w:basedOn w:val="Normal"/>
    <w:next w:val="Normal"/>
    <w:link w:val="QuoteChar"/>
    <w:uiPriority w:val="48"/>
    <w:qFormat/>
    <w:rsid w:val="001222D2"/>
    <w:rPr>
      <w:i/>
      <w:iCs/>
      <w:color w:val="000000" w:themeColor="text1"/>
    </w:rPr>
  </w:style>
  <w:style w:type="character" w:customStyle="1" w:styleId="QuoteChar">
    <w:name w:val="Quote Char"/>
    <w:basedOn w:val="DefaultParagraphFont"/>
    <w:link w:val="Quote"/>
    <w:uiPriority w:val="48"/>
    <w:rsid w:val="001222D2"/>
    <w:rPr>
      <w:i/>
      <w:iCs/>
      <w:color w:val="000000" w:themeColor="text1"/>
      <w:sz w:val="24"/>
    </w:rPr>
  </w:style>
  <w:style w:type="paragraph" w:styleId="Salutation">
    <w:name w:val="Salutation"/>
    <w:basedOn w:val="Normal"/>
    <w:next w:val="Normal"/>
    <w:link w:val="SalutationChar"/>
    <w:uiPriority w:val="99"/>
    <w:semiHidden/>
    <w:unhideWhenUsed/>
    <w:rsid w:val="001222D2"/>
  </w:style>
  <w:style w:type="character" w:customStyle="1" w:styleId="SalutationChar">
    <w:name w:val="Salutation Char"/>
    <w:basedOn w:val="DefaultParagraphFont"/>
    <w:link w:val="Salutation"/>
    <w:uiPriority w:val="99"/>
    <w:semiHidden/>
    <w:rsid w:val="001222D2"/>
    <w:rPr>
      <w:sz w:val="24"/>
    </w:rPr>
  </w:style>
  <w:style w:type="paragraph" w:styleId="Signature">
    <w:name w:val="Signature"/>
    <w:basedOn w:val="Normal"/>
    <w:link w:val="SignatureChar"/>
    <w:uiPriority w:val="99"/>
    <w:semiHidden/>
    <w:unhideWhenUsed/>
    <w:rsid w:val="001222D2"/>
    <w:pPr>
      <w:spacing w:after="0"/>
      <w:ind w:left="4252"/>
    </w:pPr>
  </w:style>
  <w:style w:type="character" w:customStyle="1" w:styleId="SignatureChar">
    <w:name w:val="Signature Char"/>
    <w:basedOn w:val="DefaultParagraphFont"/>
    <w:link w:val="Signature"/>
    <w:uiPriority w:val="99"/>
    <w:semiHidden/>
    <w:rsid w:val="001222D2"/>
    <w:rPr>
      <w:sz w:val="24"/>
    </w:rPr>
  </w:style>
  <w:style w:type="character" w:styleId="Strong">
    <w:name w:val="Strong"/>
    <w:basedOn w:val="DefaultParagraphFont"/>
    <w:uiPriority w:val="41"/>
    <w:qFormat/>
    <w:rsid w:val="001222D2"/>
    <w:rPr>
      <w:b/>
      <w:bCs/>
    </w:rPr>
  </w:style>
  <w:style w:type="character" w:styleId="SubtleEmphasis">
    <w:name w:val="Subtle Emphasis"/>
    <w:basedOn w:val="DefaultParagraphFont"/>
    <w:uiPriority w:val="40"/>
    <w:qFormat/>
    <w:rsid w:val="001222D2"/>
    <w:rPr>
      <w:i/>
      <w:iCs/>
      <w:color w:val="808080" w:themeColor="text1" w:themeTint="7F"/>
    </w:rPr>
  </w:style>
  <w:style w:type="character" w:styleId="SubtleReference">
    <w:name w:val="Subtle Reference"/>
    <w:basedOn w:val="DefaultParagraphFont"/>
    <w:uiPriority w:val="50"/>
    <w:qFormat/>
    <w:rsid w:val="001222D2"/>
    <w:rPr>
      <w:smallCaps/>
      <w:color w:val="3F9D8A" w:themeColor="accent2"/>
      <w:u w:val="single"/>
    </w:rPr>
  </w:style>
  <w:style w:type="table" w:styleId="Table3Deffects1">
    <w:name w:val="Table 3D effects 1"/>
    <w:basedOn w:val="TableNormal"/>
    <w:uiPriority w:val="99"/>
    <w:semiHidden/>
    <w:unhideWhenUsed/>
    <w:rsid w:val="001222D2"/>
    <w:pPr>
      <w:spacing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222D2"/>
    <w:pPr>
      <w:spacing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222D2"/>
    <w:pPr>
      <w:spacing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222D2"/>
    <w:pPr>
      <w:spacing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222D2"/>
    <w:pPr>
      <w:spacing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222D2"/>
    <w:pPr>
      <w:spacing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222D2"/>
    <w:pPr>
      <w:spacing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222D2"/>
    <w:pPr>
      <w:spacing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222D2"/>
    <w:pPr>
      <w:spacing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222D2"/>
    <w:pPr>
      <w:spacing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222D2"/>
    <w:pPr>
      <w:spacing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222D2"/>
    <w:pPr>
      <w:spacing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222D2"/>
    <w:pPr>
      <w:spacing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222D2"/>
    <w:pPr>
      <w:spacing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222D2"/>
    <w:pPr>
      <w:spacing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222D2"/>
    <w:pPr>
      <w:spacing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222D2"/>
    <w:pPr>
      <w:spacing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222D2"/>
    <w:pPr>
      <w:spacing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222D2"/>
    <w:pPr>
      <w:spacing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222D2"/>
    <w:pPr>
      <w:spacing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222D2"/>
    <w:pPr>
      <w:spacing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222D2"/>
    <w:pPr>
      <w:spacing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222D2"/>
    <w:pPr>
      <w:spacing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222D2"/>
    <w:pPr>
      <w:spacing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222D2"/>
    <w:pPr>
      <w:spacing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222D2"/>
    <w:pPr>
      <w:spacing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222D2"/>
    <w:pPr>
      <w:spacing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222D2"/>
    <w:pPr>
      <w:spacing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222D2"/>
    <w:pPr>
      <w:spacing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222D2"/>
    <w:pPr>
      <w:spacing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222D2"/>
    <w:pPr>
      <w:spacing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222D2"/>
    <w:pPr>
      <w:spacing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222D2"/>
    <w:pPr>
      <w:spacing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222D2"/>
    <w:pPr>
      <w:spacing w:after="0"/>
      <w:ind w:left="240" w:hanging="240"/>
    </w:pPr>
  </w:style>
  <w:style w:type="table" w:styleId="TableProfessional">
    <w:name w:val="Table Professional"/>
    <w:basedOn w:val="TableNormal"/>
    <w:uiPriority w:val="99"/>
    <w:semiHidden/>
    <w:unhideWhenUsed/>
    <w:rsid w:val="001222D2"/>
    <w:pPr>
      <w:spacing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222D2"/>
    <w:pPr>
      <w:spacing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222D2"/>
    <w:pPr>
      <w:spacing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222D2"/>
    <w:pPr>
      <w:spacing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222D2"/>
    <w:pPr>
      <w:spacing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222D2"/>
    <w:pPr>
      <w:spacing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222D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222D2"/>
    <w:pPr>
      <w:spacing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222D2"/>
    <w:pPr>
      <w:spacing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222D2"/>
    <w:pPr>
      <w:spacing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222D2"/>
    <w:pPr>
      <w:spacing w:before="120"/>
    </w:pPr>
    <w:rPr>
      <w:rFonts w:asciiTheme="majorHAnsi" w:eastAsiaTheme="majorEastAsia" w:hAnsiTheme="majorHAnsi" w:cstheme="majorBidi"/>
      <w:b/>
      <w:bCs/>
      <w:szCs w:val="24"/>
    </w:rPr>
  </w:style>
  <w:style w:type="paragraph" w:styleId="TOC5">
    <w:name w:val="toc 5"/>
    <w:aliases w:val="HoC_TOC 5"/>
    <w:basedOn w:val="Normal"/>
    <w:next w:val="Normal"/>
    <w:uiPriority w:val="39"/>
    <w:unhideWhenUsed/>
    <w:rsid w:val="0010120A"/>
    <w:pPr>
      <w:tabs>
        <w:tab w:val="left" w:pos="567"/>
        <w:tab w:val="right" w:pos="7518"/>
      </w:tabs>
      <w:spacing w:after="120" w:line="264" w:lineRule="auto"/>
      <w:ind w:left="567" w:hanging="567"/>
    </w:pPr>
  </w:style>
  <w:style w:type="paragraph" w:styleId="TOC6">
    <w:name w:val="toc 6"/>
    <w:aliases w:val="HoC_TOC 6"/>
    <w:basedOn w:val="Normal"/>
    <w:next w:val="Normal"/>
    <w:uiPriority w:val="39"/>
    <w:unhideWhenUsed/>
    <w:rsid w:val="004F6E0A"/>
    <w:pPr>
      <w:tabs>
        <w:tab w:val="left" w:pos="567"/>
        <w:tab w:val="right" w:pos="7518"/>
      </w:tabs>
      <w:spacing w:after="120" w:line="264" w:lineRule="auto"/>
      <w:ind w:left="567"/>
    </w:pPr>
  </w:style>
  <w:style w:type="paragraph" w:styleId="TOC7">
    <w:name w:val="toc 7"/>
    <w:basedOn w:val="Normal"/>
    <w:next w:val="Normal"/>
    <w:autoRedefine/>
    <w:uiPriority w:val="39"/>
    <w:semiHidden/>
    <w:unhideWhenUsed/>
    <w:rsid w:val="001222D2"/>
    <w:pPr>
      <w:spacing w:after="100"/>
      <w:ind w:left="1440"/>
    </w:pPr>
  </w:style>
  <w:style w:type="paragraph" w:styleId="TOC8">
    <w:name w:val="toc 8"/>
    <w:basedOn w:val="Normal"/>
    <w:next w:val="Normal"/>
    <w:autoRedefine/>
    <w:uiPriority w:val="39"/>
    <w:semiHidden/>
    <w:unhideWhenUsed/>
    <w:rsid w:val="001222D2"/>
    <w:pPr>
      <w:spacing w:after="100"/>
      <w:ind w:left="1680"/>
    </w:pPr>
  </w:style>
  <w:style w:type="paragraph" w:styleId="TOC9">
    <w:name w:val="toc 9"/>
    <w:basedOn w:val="Normal"/>
    <w:next w:val="Normal"/>
    <w:autoRedefine/>
    <w:uiPriority w:val="39"/>
    <w:semiHidden/>
    <w:unhideWhenUsed/>
    <w:rsid w:val="001222D2"/>
    <w:pPr>
      <w:spacing w:after="100"/>
      <w:ind w:left="1920"/>
    </w:pPr>
  </w:style>
  <w:style w:type="paragraph" w:styleId="TOCHeading">
    <w:name w:val="TOC Heading"/>
    <w:basedOn w:val="Heading1"/>
    <w:next w:val="Normal"/>
    <w:uiPriority w:val="39"/>
    <w:semiHidden/>
    <w:unhideWhenUsed/>
    <w:qFormat/>
    <w:rsid w:val="001222D2"/>
    <w:pPr>
      <w:pageBreakBefore w:val="0"/>
      <w:tabs>
        <w:tab w:val="clear" w:pos="2835"/>
      </w:tabs>
      <w:spacing w:after="0" w:line="240" w:lineRule="auto"/>
      <w:contextualSpacing w:val="0"/>
      <w:outlineLvl w:val="9"/>
    </w:pPr>
    <w:rPr>
      <w:b/>
      <w:bCs/>
      <w:color w:val="525252" w:themeColor="accent1" w:themeShade="BF"/>
      <w:sz w:val="28"/>
      <w:szCs w:val="28"/>
    </w:rPr>
  </w:style>
  <w:style w:type="paragraph" w:customStyle="1" w:styleId="HoCBoxTextChart">
    <w:name w:val="HoC_Box Text (Chart)"/>
    <w:basedOn w:val="HoCBoxText"/>
    <w:uiPriority w:val="14"/>
    <w:rsid w:val="00595878"/>
    <w:pPr>
      <w:spacing w:line="240" w:lineRule="auto"/>
    </w:pPr>
    <w:rPr>
      <w:noProof/>
      <w:lang w:eastAsia="zh-CN"/>
    </w:rPr>
  </w:style>
  <w:style w:type="character" w:styleId="UnresolvedMention">
    <w:name w:val="Unresolved Mention"/>
    <w:basedOn w:val="DefaultParagraphFont"/>
    <w:uiPriority w:val="99"/>
    <w:semiHidden/>
    <w:unhideWhenUsed/>
    <w:rsid w:val="00B95E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70494">
      <w:bodyDiv w:val="1"/>
      <w:marLeft w:val="0"/>
      <w:marRight w:val="0"/>
      <w:marTop w:val="0"/>
      <w:marBottom w:val="0"/>
      <w:divBdr>
        <w:top w:val="none" w:sz="0" w:space="0" w:color="auto"/>
        <w:left w:val="none" w:sz="0" w:space="0" w:color="auto"/>
        <w:bottom w:val="none" w:sz="0" w:space="0" w:color="auto"/>
        <w:right w:val="none" w:sz="0" w:space="0" w:color="auto"/>
      </w:divBdr>
    </w:div>
    <w:div w:id="755514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ews.motability.co.uk/scheme-news/updates-to-the-cars-available-on-the-motability-scheme/" TargetMode="External"/><Relationship Id="rId18" Type="http://schemas.openxmlformats.org/officeDocument/2006/relationships/hyperlink" Target="https://webarchive.nationalarchives.gov.uk/ukgwa/20170525233118/https:/www.gov.uk/government/publications/vehicle-excise-duty/vehicle-excise-duty" TargetMode="External"/><Relationship Id="rId26" Type="http://schemas.openxmlformats.org/officeDocument/2006/relationships/hyperlink" Target="https://assets.publishing.service.gov.uk/media/6926eb102a37784b16ecf525/E03444720_Budget_2025_Web_Accessible.pdf" TargetMode="External"/><Relationship Id="rId39" Type="http://schemas.openxmlformats.org/officeDocument/2006/relationships/hyperlink" Target="https://commonslibrary.parliament.uk/research-briefings/cbp-9498/" TargetMode="External"/><Relationship Id="rId21" Type="http://schemas.openxmlformats.org/officeDocument/2006/relationships/hyperlink" Target="https://www.gov.uk/government/publications/vehicle-excise-duty-for-expensive-car-supplement-threshold-increase-for-zero-emission-vehicles/increase-in-the-vehicle-excise-duty-expensive-car-supplement-threshold-for-zero-emission-cars" TargetMode="External"/><Relationship Id="rId34" Type="http://schemas.openxmlformats.org/officeDocument/2006/relationships/hyperlink" Target="https://www.bsa.org.uk/media-centre/press-releases/open-letter-to-the-chancellor-cash-isas" TargetMode="External"/><Relationship Id="rId42" Type="http://schemas.openxmlformats.org/officeDocument/2006/relationships/hyperlink" Target="https://www.resolutionfoundation.org/publications/saving-penalties/" TargetMode="External"/><Relationship Id="rId47"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customXml" Target="../customXml/item1.xml"/><Relationship Id="rId16" Type="http://schemas.openxmlformats.org/officeDocument/2006/relationships/hyperlink" Target="https://www.gov.uk/government/consultations/consultation-on-the-introduction-of-electric-vehicle-excise-duty-eved" TargetMode="External"/><Relationship Id="rId29" Type="http://schemas.openxmlformats.org/officeDocument/2006/relationships/hyperlink" Target="https://questions-statements.parliament.uk/written-questions/detail/2025-03-13/38255" TargetMode="External"/><Relationship Id="rId11" Type="http://schemas.openxmlformats.org/officeDocument/2006/relationships/hyperlink" Target="https://news.motability.co.uk/scheme-news/updates-to-the-cars-available-on-the-motability-scheme/" TargetMode="External"/><Relationship Id="rId24" Type="http://schemas.openxmlformats.org/officeDocument/2006/relationships/hyperlink" Target="https://bills.parliament.uk/bills/4042/stages" TargetMode="External"/><Relationship Id="rId32" Type="http://schemas.openxmlformats.org/officeDocument/2006/relationships/hyperlink" Target="https://www.atombank.co.uk/newsroom/cash-isa-research/" TargetMode="External"/><Relationship Id="rId37" Type="http://schemas.openxmlformats.org/officeDocument/2006/relationships/hyperlink" Target="https://www.legislation.gov.uk/ukpga/1992/5/part/X" TargetMode="External"/><Relationship Id="rId40" Type="http://schemas.openxmlformats.org/officeDocument/2006/relationships/hyperlink" Target="https://commonslibrary.parliament.uk/how-savings-can-affect-benefits/"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motability.co.uk/whats-available/adaptations" TargetMode="External"/><Relationship Id="rId23" Type="http://schemas.openxmlformats.org/officeDocument/2006/relationships/hyperlink" Target="https://bills.parliament.uk/bills/4042" TargetMode="External"/><Relationship Id="rId28" Type="http://schemas.openxmlformats.org/officeDocument/2006/relationships/hyperlink" Target="https://questions-statements.parliament.uk/written-questions/detail/2025-11-03/87577" TargetMode="External"/><Relationship Id="rId36" Type="http://schemas.openxmlformats.org/officeDocument/2006/relationships/hyperlink" Target="https://publications.parliament.uk/pa/cm5901/cmselect/cmtreasy/1606/report.html" TargetMode="External"/><Relationship Id="rId49" Type="http://schemas.openxmlformats.org/officeDocument/2006/relationships/theme" Target="theme/theme1.xml"/><Relationship Id="rId10" Type="http://schemas.openxmlformats.org/officeDocument/2006/relationships/hyperlink" Target="https://questions-statements.parliament.uk/written-questions/detail/2026-01-05/102838" TargetMode="External"/><Relationship Id="rId19" Type="http://schemas.openxmlformats.org/officeDocument/2006/relationships/hyperlink" Target="https://questions-statements.parliament.uk/written-questions/detail/2026-01-06/103368" TargetMode="External"/><Relationship Id="rId31" Type="http://schemas.openxmlformats.org/officeDocument/2006/relationships/hyperlink" Target="https://www.htb.co.uk/cash-isa-reforms-survey" TargetMode="External"/><Relationship Id="rId44" Type="http://schemas.openxmlformats.org/officeDocument/2006/relationships/hyperlink" Target="https://www.motability.co.uk/find-a-vehicle/wheelchair-accessible-vehicles?awardType=PIP&amp;fuelType=Electric" TargetMode="External"/><Relationship Id="rId4" Type="http://schemas.openxmlformats.org/officeDocument/2006/relationships/styles" Target="styles.xml"/><Relationship Id="rId9" Type="http://schemas.openxmlformats.org/officeDocument/2006/relationships/hyperlink" Target="https://www.gov.uk/government/publications/vat-and-insurance-premium-tax-change-to-reliefs-for-qualifying-motor-vehicle-leasing-schemes/motability-scheme-reforming-tax-reliefs" TargetMode="External"/><Relationship Id="rId14" Type="http://schemas.openxmlformats.org/officeDocument/2006/relationships/hyperlink" Target="https://www.motability.co.uk/find-a-vehicle/wheelchair-accessible-vehicles" TargetMode="External"/><Relationship Id="rId22" Type="http://schemas.openxmlformats.org/officeDocument/2006/relationships/hyperlink" Target="https://assets.publishing.service.gov.uk/media/672232d010b0d582ee8c4905/Autumn_Budget_2024__web_accessible_.pdf" TargetMode="External"/><Relationship Id="rId27" Type="http://schemas.openxmlformats.org/officeDocument/2006/relationships/hyperlink" Target="https://commonslibrary.parliament.uk/research-briefings/cbp-10423/" TargetMode="External"/><Relationship Id="rId30" Type="http://schemas.openxmlformats.org/officeDocument/2006/relationships/hyperlink" Target="https://www.gov.uk/government/publications/budget-2025-document/budget-2025-html" TargetMode="External"/><Relationship Id="rId35" Type="http://schemas.openxmlformats.org/officeDocument/2006/relationships/hyperlink" Target="https://publications.parliament.uk/pa/cm5901/cmselect/cmtreasy/1422/report.html" TargetMode="External"/><Relationship Id="rId43" Type="http://schemas.openxmlformats.org/officeDocument/2006/relationships/hyperlink" Target="https://www.gov.uk/government/consultations/consultation-on-the-introduction-of-electric-vehicle-excise-duty-eved"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questions-statements.parliament.uk/written-questions/detail/2025-10-27/85568" TargetMode="External"/><Relationship Id="rId17" Type="http://schemas.openxmlformats.org/officeDocument/2006/relationships/hyperlink" Target="https://questions-statements.parliament.uk/written-questions/detail/2026-01-19/106452" TargetMode="External"/><Relationship Id="rId25" Type="http://schemas.openxmlformats.org/officeDocument/2006/relationships/hyperlink" Target="https://hansard.parliament.uk/commons/2026-01-29/debates/a3bd7c93-5fb9-47bd-99a6-cb919a507ccc/Finance(No2)Bill(FourthSitting)" TargetMode="External"/><Relationship Id="rId33" Type="http://schemas.openxmlformats.org/officeDocument/2006/relationships/hyperlink" Target="https://withplum.com/press/savers-react-to-cash-isa-reforms" TargetMode="External"/><Relationship Id="rId38" Type="http://schemas.openxmlformats.org/officeDocument/2006/relationships/hyperlink" Target="https://questions-statements.parliament.uk/written-questions/detail/2025-10-10/79128" TargetMode="External"/><Relationship Id="rId46" Type="http://schemas.openxmlformats.org/officeDocument/2006/relationships/footer" Target="footer1.xml"/><Relationship Id="rId20" Type="http://schemas.openxmlformats.org/officeDocument/2006/relationships/hyperlink" Target="https://assets.publishing.service.gov.uk/media/6926eb102a37784b16ecf525/E03444720_Budget_2025_Web_Accessible.pdf" TargetMode="External"/><Relationship Id="rId41" Type="http://schemas.openxmlformats.org/officeDocument/2006/relationships/hyperlink" Target="https://questions-statements.parliament.uk/written-questions/detail/2025-10-22/84485" TargetMode="External"/><Relationship Id="rId1" Type="http://schemas.microsoft.com/office/2006/relationships/keyMapCustomizations" Target="customizations.xml"/><Relationship Id="rId6"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eta%20One%20Limited\House%20of%20Commons\HoC%20Word%20Templates\Library%20Request%20Response.dotm" TargetMode="External"/></Relationships>
</file>

<file path=word/theme/theme1.xml><?xml version="1.0" encoding="utf-8"?>
<a:theme xmlns:a="http://schemas.openxmlformats.org/drawingml/2006/main" name="Office Theme">
  <a:themeElements>
    <a:clrScheme name="Custom 44">
      <a:dk1>
        <a:sysClr val="windowText" lastClr="000000"/>
      </a:dk1>
      <a:lt1>
        <a:sysClr val="window" lastClr="FFFFFF"/>
      </a:lt1>
      <a:dk2>
        <a:srgbClr val="006548"/>
      </a:dk2>
      <a:lt2>
        <a:srgbClr val="EDEBEA"/>
      </a:lt2>
      <a:accent1>
        <a:srgbClr val="6E6E6E"/>
      </a:accent1>
      <a:accent2>
        <a:srgbClr val="3F9D8A"/>
      </a:accent2>
      <a:accent3>
        <a:srgbClr val="7C1389"/>
      </a:accent3>
      <a:accent4>
        <a:srgbClr val="A37EC8"/>
      </a:accent4>
      <a:accent5>
        <a:srgbClr val="E09F00"/>
      </a:accent5>
      <a:accent6>
        <a:srgbClr val="003F2B"/>
      </a:accent6>
      <a:hlink>
        <a:srgbClr val="006548"/>
      </a:hlink>
      <a:folHlink>
        <a:srgbClr val="954F72"/>
      </a:folHlink>
    </a:clrScheme>
    <a:fontScheme name="HoC">
      <a:majorFont>
        <a:latin typeface="National-LFSN Semibd"/>
        <a:ea typeface=""/>
        <a:cs typeface=""/>
      </a:majorFont>
      <a:minorFont>
        <a:latin typeface="National-LFSN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23770-8578-4FCF-A7D4-6A949CBAA1E3}">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emplate>Library Request Response.dotm</Template>
  <TotalTime>5</TotalTime>
  <Pages>10</Pages>
  <Words>3426</Words>
  <Characters>18026</Characters>
  <Application>Microsoft Office Word</Application>
  <DocSecurity>0</DocSecurity>
  <Lines>353</Lines>
  <Paragraphs>123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21329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BENSON, Michael</dc:creator>
  <cp:lastModifiedBy>BATES, Celie</cp:lastModifiedBy>
  <cp:revision>2</cp:revision>
  <dcterms:created xsi:type="dcterms:W3CDTF">2026-03-10T12:46:00Z</dcterms:created>
  <dcterms:modified xsi:type="dcterms:W3CDTF">2026-03-10T12:46:00Z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neP_DocType">
    <vt:lpwstr>Library Request Response</vt:lpwstr>
  </property>
  <property fmtid="{D5CDD505-2E9C-101B-9397-08002B2CF9AE}" pid="3" name="moneP_DocVer">
    <vt:lpwstr>1.0.17</vt:lpwstr>
  </property>
  <property fmtid="{D5CDD505-2E9C-101B-9397-08002B2CF9AE}" pid="4" name="moneP_DocAuthor">
    <vt:lpwstr>Meta One Limited</vt:lpwstr>
  </property>
  <property fmtid="{D5CDD505-2E9C-101B-9397-08002B2CF9AE}" pid="5" name="moneP_Sizes Column">
    <vt:lpwstr>Width=425.25|Heights=Small,144;Medium,201;Large,312|Left=0|PageType=One</vt:lpwstr>
  </property>
  <property fmtid="{D5CDD505-2E9C-101B-9397-08002B2CF9AE}" pid="6" name="moneP_CoverType">
    <vt:lpwstr/>
  </property>
  <property fmtid="{D5CDD505-2E9C-101B-9397-08002B2CF9AE}" pid="7" name="moneP_CoverImage">
    <vt:lpwstr/>
  </property>
</Properties>
</file>